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CA14" w14:textId="616574F7" w:rsidR="00D71CE1" w:rsidRPr="005401CE" w:rsidRDefault="00D71CE1" w:rsidP="005401CE">
      <w:pPr>
        <w:pStyle w:val="reporttextparas"/>
        <w:tabs>
          <w:tab w:val="left" w:pos="426"/>
        </w:tabs>
        <w:ind w:left="993" w:hanging="993"/>
        <w:rPr>
          <w:b/>
          <w:bCs/>
          <w:sz w:val="32"/>
          <w:szCs w:val="32"/>
        </w:rPr>
      </w:pPr>
      <w:bookmarkStart w:id="0" w:name="_GoBack"/>
      <w:bookmarkEnd w:id="0"/>
      <w:r w:rsidRPr="005401CE">
        <w:rPr>
          <w:b/>
          <w:bCs/>
          <w:sz w:val="32"/>
          <w:szCs w:val="32"/>
        </w:rPr>
        <w:t xml:space="preserve">Appendix </w:t>
      </w:r>
      <w:r w:rsidR="005006BD">
        <w:rPr>
          <w:b/>
          <w:bCs/>
          <w:sz w:val="32"/>
          <w:szCs w:val="32"/>
        </w:rPr>
        <w:t>2</w:t>
      </w:r>
    </w:p>
    <w:p w14:paraId="3501381C" w14:textId="77777777" w:rsidR="00D71CE1" w:rsidRPr="005401CE" w:rsidRDefault="00D71CE1" w:rsidP="0022399E">
      <w:pPr>
        <w:spacing w:before="100" w:beforeAutospacing="1" w:after="100" w:afterAutospacing="1"/>
        <w:jc w:val="both"/>
        <w:rPr>
          <w:b/>
          <w:bCs/>
          <w:color w:val="000000"/>
          <w:sz w:val="32"/>
          <w:szCs w:val="32"/>
        </w:rPr>
      </w:pPr>
      <w:r w:rsidRPr="005401CE">
        <w:rPr>
          <w:b/>
          <w:bCs/>
          <w:color w:val="000000"/>
          <w:sz w:val="32"/>
          <w:szCs w:val="32"/>
        </w:rPr>
        <w:t>Financial Modelling for the Secure Children’s Home Project and PLV</w:t>
      </w:r>
    </w:p>
    <w:p w14:paraId="42741375" w14:textId="77777777" w:rsidR="0022399E" w:rsidRDefault="00D71CE1" w:rsidP="0022399E">
      <w:pPr>
        <w:spacing w:before="100" w:beforeAutospacing="1" w:after="100" w:afterAutospacing="1"/>
        <w:jc w:val="both"/>
        <w:rPr>
          <w:color w:val="000000"/>
          <w:sz w:val="24"/>
          <w:szCs w:val="24"/>
        </w:rPr>
      </w:pPr>
      <w:r>
        <w:rPr>
          <w:color w:val="000000"/>
          <w:sz w:val="24"/>
          <w:szCs w:val="24"/>
        </w:rPr>
        <w:t xml:space="preserve">There is a clear need to create more Secure Children’s Home provision for London. Detailed analysis supports the creation of 24 secure welfare beds. </w:t>
      </w:r>
    </w:p>
    <w:p w14:paraId="67F5930B" w14:textId="7A1B3988" w:rsidR="0022399E" w:rsidRDefault="00D71CE1" w:rsidP="0022399E">
      <w:pPr>
        <w:spacing w:before="100" w:beforeAutospacing="1" w:after="100" w:afterAutospacing="1"/>
        <w:jc w:val="both"/>
        <w:rPr>
          <w:color w:val="000000"/>
          <w:sz w:val="24"/>
          <w:szCs w:val="24"/>
        </w:rPr>
      </w:pPr>
      <w:r>
        <w:rPr>
          <w:color w:val="000000"/>
          <w:sz w:val="24"/>
          <w:szCs w:val="24"/>
        </w:rPr>
        <w:t xml:space="preserve">These beds will allow London children to be placed within London. </w:t>
      </w:r>
    </w:p>
    <w:p w14:paraId="0AD251A8" w14:textId="5316F213" w:rsidR="00D71CE1" w:rsidRDefault="00D71CE1" w:rsidP="0022399E">
      <w:pPr>
        <w:spacing w:before="100" w:beforeAutospacing="1" w:after="100" w:afterAutospacing="1"/>
        <w:jc w:val="both"/>
        <w:rPr>
          <w:color w:val="000000"/>
          <w:sz w:val="24"/>
          <w:szCs w:val="24"/>
        </w:rPr>
      </w:pPr>
      <w:r>
        <w:rPr>
          <w:color w:val="000000"/>
          <w:sz w:val="24"/>
          <w:szCs w:val="24"/>
        </w:rPr>
        <w:t>The funding commitment from the Department for Education of £</w:t>
      </w:r>
      <w:r w:rsidR="005A0E73">
        <w:rPr>
          <w:color w:val="000000"/>
          <w:sz w:val="24"/>
          <w:szCs w:val="24"/>
        </w:rPr>
        <w:t>5</w:t>
      </w:r>
      <w:r>
        <w:rPr>
          <w:color w:val="000000"/>
          <w:sz w:val="24"/>
          <w:szCs w:val="24"/>
        </w:rPr>
        <w:t>0+ million offers London an opportunity to invest significantly in improving outcomes for our most vulnerable children and young people.</w:t>
      </w:r>
    </w:p>
    <w:p w14:paraId="41935872" w14:textId="7D0672A0" w:rsidR="00D71CE1" w:rsidRDefault="00D71CE1" w:rsidP="0022399E">
      <w:pPr>
        <w:spacing w:before="100" w:beforeAutospacing="1" w:after="100" w:afterAutospacing="1"/>
        <w:jc w:val="both"/>
        <w:rPr>
          <w:color w:val="000000"/>
          <w:sz w:val="24"/>
          <w:szCs w:val="24"/>
        </w:rPr>
      </w:pPr>
      <w:r>
        <w:rPr>
          <w:color w:val="000000"/>
          <w:sz w:val="24"/>
          <w:szCs w:val="24"/>
        </w:rPr>
        <w:t xml:space="preserve">Even with this additional funding, the financial, operational, and reputational risk required to take on this project is more than any single LA could manage. The case for creating this provision relies on collaboration between London LAs, and to this end, the establishment of the PLV will allow London LAs to share both the risks and benefits of the project. The PLV is </w:t>
      </w:r>
      <w:r w:rsidR="0022399E">
        <w:rPr>
          <w:color w:val="000000"/>
          <w:sz w:val="24"/>
          <w:szCs w:val="24"/>
        </w:rPr>
        <w:t xml:space="preserve">the </w:t>
      </w:r>
      <w:r>
        <w:rPr>
          <w:color w:val="000000"/>
          <w:sz w:val="24"/>
          <w:szCs w:val="24"/>
        </w:rPr>
        <w:t>required infrastructure for the project to succeed.</w:t>
      </w:r>
    </w:p>
    <w:p w14:paraId="4CB4F304" w14:textId="2DD2CEC1" w:rsidR="00D71CE1" w:rsidRPr="00236F07" w:rsidRDefault="00D71CE1" w:rsidP="0022399E">
      <w:pPr>
        <w:spacing w:before="100" w:beforeAutospacing="1" w:after="100" w:afterAutospacing="1"/>
        <w:jc w:val="both"/>
        <w:rPr>
          <w:i/>
          <w:iCs/>
          <w:color w:val="000000"/>
          <w:sz w:val="24"/>
          <w:szCs w:val="24"/>
        </w:rPr>
      </w:pPr>
      <w:r>
        <w:rPr>
          <w:color w:val="000000"/>
          <w:sz w:val="24"/>
          <w:szCs w:val="24"/>
        </w:rPr>
        <w:t xml:space="preserve">This financial modelling outlines </w:t>
      </w:r>
      <w:r w:rsidR="00236F07">
        <w:rPr>
          <w:color w:val="000000"/>
          <w:sz w:val="24"/>
          <w:szCs w:val="24"/>
        </w:rPr>
        <w:t>some</w:t>
      </w:r>
      <w:r>
        <w:rPr>
          <w:color w:val="000000"/>
          <w:sz w:val="24"/>
          <w:szCs w:val="24"/>
        </w:rPr>
        <w:t xml:space="preserve"> predicted cost</w:t>
      </w:r>
      <w:r w:rsidR="00236F07">
        <w:rPr>
          <w:color w:val="000000"/>
          <w:sz w:val="24"/>
          <w:szCs w:val="24"/>
        </w:rPr>
        <w:t>s</w:t>
      </w:r>
      <w:r>
        <w:rPr>
          <w:color w:val="000000"/>
          <w:sz w:val="24"/>
          <w:szCs w:val="24"/>
        </w:rPr>
        <w:t xml:space="preserve"> and </w:t>
      </w:r>
      <w:r w:rsidR="00236F07">
        <w:rPr>
          <w:color w:val="000000"/>
          <w:sz w:val="24"/>
          <w:szCs w:val="24"/>
        </w:rPr>
        <w:t xml:space="preserve">estimated </w:t>
      </w:r>
      <w:r>
        <w:rPr>
          <w:color w:val="000000"/>
          <w:sz w:val="24"/>
          <w:szCs w:val="24"/>
        </w:rPr>
        <w:t xml:space="preserve">benefits for London local authorities. </w:t>
      </w:r>
      <w:r w:rsidR="00A02F76">
        <w:rPr>
          <w:color w:val="000000"/>
          <w:sz w:val="24"/>
          <w:szCs w:val="24"/>
        </w:rPr>
        <w:t>To compile</w:t>
      </w:r>
      <w:r>
        <w:rPr>
          <w:color w:val="000000"/>
          <w:sz w:val="24"/>
          <w:szCs w:val="24"/>
        </w:rPr>
        <w:t xml:space="preserve"> these </w:t>
      </w:r>
      <w:r w:rsidR="00A02F76">
        <w:rPr>
          <w:color w:val="000000"/>
          <w:sz w:val="24"/>
          <w:szCs w:val="24"/>
        </w:rPr>
        <w:t>figures</w:t>
      </w:r>
      <w:r>
        <w:rPr>
          <w:color w:val="000000"/>
          <w:sz w:val="24"/>
          <w:szCs w:val="24"/>
        </w:rPr>
        <w:t>, we have used data</w:t>
      </w:r>
      <w:r w:rsidR="00A02F76">
        <w:rPr>
          <w:color w:val="000000"/>
          <w:sz w:val="24"/>
          <w:szCs w:val="24"/>
        </w:rPr>
        <w:t xml:space="preserve"> submitted by London LAs on their use of secure placements</w:t>
      </w:r>
      <w:r>
        <w:rPr>
          <w:color w:val="000000"/>
          <w:sz w:val="24"/>
          <w:szCs w:val="24"/>
        </w:rPr>
        <w:t xml:space="preserve"> </w:t>
      </w:r>
      <w:r w:rsidR="00A02F76">
        <w:rPr>
          <w:color w:val="000000"/>
          <w:sz w:val="24"/>
          <w:szCs w:val="24"/>
        </w:rPr>
        <w:t>and alternatives to secure, as well as</w:t>
      </w:r>
      <w:r>
        <w:rPr>
          <w:color w:val="000000"/>
          <w:sz w:val="24"/>
          <w:szCs w:val="24"/>
        </w:rPr>
        <w:t xml:space="preserve"> detailed modelling </w:t>
      </w:r>
      <w:r w:rsidR="00236F07">
        <w:rPr>
          <w:color w:val="000000"/>
          <w:sz w:val="24"/>
          <w:szCs w:val="24"/>
        </w:rPr>
        <w:t>from</w:t>
      </w:r>
      <w:r>
        <w:rPr>
          <w:color w:val="000000"/>
          <w:sz w:val="24"/>
          <w:szCs w:val="24"/>
        </w:rPr>
        <w:t xml:space="preserve"> 2019</w:t>
      </w:r>
      <w:r w:rsidR="00236F07">
        <w:rPr>
          <w:color w:val="000000"/>
          <w:sz w:val="24"/>
          <w:szCs w:val="24"/>
        </w:rPr>
        <w:t>-</w:t>
      </w:r>
      <w:r>
        <w:rPr>
          <w:color w:val="000000"/>
          <w:sz w:val="24"/>
          <w:szCs w:val="24"/>
        </w:rPr>
        <w:t xml:space="preserve">20. The figures </w:t>
      </w:r>
      <w:r w:rsidR="00236F07">
        <w:rPr>
          <w:color w:val="000000"/>
          <w:sz w:val="24"/>
          <w:szCs w:val="24"/>
        </w:rPr>
        <w:t>from</w:t>
      </w:r>
      <w:r>
        <w:rPr>
          <w:color w:val="000000"/>
          <w:sz w:val="24"/>
          <w:szCs w:val="24"/>
        </w:rPr>
        <w:t xml:space="preserve"> 2019-20 have been inflated to 2022 prices using the Consumer Price Index (CPI). </w:t>
      </w:r>
      <w:r w:rsidR="00236F07" w:rsidRPr="00236F07">
        <w:rPr>
          <w:i/>
          <w:iCs/>
          <w:color w:val="000000"/>
          <w:sz w:val="24"/>
          <w:szCs w:val="24"/>
        </w:rPr>
        <w:t xml:space="preserve">Please note, these </w:t>
      </w:r>
      <w:r w:rsidR="00A02F76">
        <w:rPr>
          <w:i/>
          <w:iCs/>
          <w:color w:val="000000"/>
          <w:sz w:val="24"/>
          <w:szCs w:val="24"/>
        </w:rPr>
        <w:t>figures</w:t>
      </w:r>
      <w:r w:rsidR="00236F07" w:rsidRPr="00236F07">
        <w:rPr>
          <w:i/>
          <w:iCs/>
          <w:color w:val="000000"/>
          <w:sz w:val="24"/>
          <w:szCs w:val="24"/>
        </w:rPr>
        <w:t xml:space="preserve"> are used to illustrate different scenarios - they do not represent the final placement prices</w:t>
      </w:r>
      <w:r w:rsidR="00A02F76">
        <w:rPr>
          <w:i/>
          <w:iCs/>
          <w:color w:val="000000"/>
          <w:sz w:val="24"/>
          <w:szCs w:val="24"/>
        </w:rPr>
        <w:t xml:space="preserve"> or actual operating costs</w:t>
      </w:r>
      <w:r w:rsidR="00236F07" w:rsidRPr="00236F07">
        <w:rPr>
          <w:i/>
          <w:iCs/>
          <w:color w:val="000000"/>
          <w:sz w:val="24"/>
          <w:szCs w:val="24"/>
        </w:rPr>
        <w:t xml:space="preserve"> for the new provision.</w:t>
      </w:r>
    </w:p>
    <w:p w14:paraId="54DBC5FB" w14:textId="77777777" w:rsidR="00D71CE1" w:rsidRPr="001A2BE0" w:rsidRDefault="00D71CE1" w:rsidP="003501B6">
      <w:pPr>
        <w:pStyle w:val="ListParagraph"/>
        <w:numPr>
          <w:ilvl w:val="0"/>
          <w:numId w:val="1"/>
        </w:numPr>
        <w:spacing w:before="100" w:beforeAutospacing="1" w:after="100" w:afterAutospacing="1" w:line="240" w:lineRule="auto"/>
        <w:ind w:left="426" w:hanging="426"/>
        <w:rPr>
          <w:b/>
          <w:bCs/>
          <w:color w:val="000000"/>
          <w:sz w:val="24"/>
          <w:szCs w:val="24"/>
          <w:u w:val="single"/>
        </w:rPr>
      </w:pPr>
      <w:r>
        <w:rPr>
          <w:b/>
          <w:bCs/>
          <w:color w:val="000000"/>
          <w:sz w:val="24"/>
          <w:szCs w:val="24"/>
          <w:u w:val="single"/>
        </w:rPr>
        <w:t>Annual Running</w:t>
      </w:r>
      <w:r w:rsidRPr="001A2BE0">
        <w:rPr>
          <w:b/>
          <w:bCs/>
          <w:color w:val="000000"/>
          <w:sz w:val="24"/>
          <w:szCs w:val="24"/>
          <w:u w:val="single"/>
        </w:rPr>
        <w:t xml:space="preserve"> Costs for the Secure Children’s Home and </w:t>
      </w:r>
      <w:r>
        <w:rPr>
          <w:b/>
          <w:bCs/>
          <w:color w:val="000000"/>
          <w:sz w:val="24"/>
          <w:szCs w:val="24"/>
          <w:u w:val="single"/>
        </w:rPr>
        <w:t>Pan-London Vehicle</w:t>
      </w:r>
    </w:p>
    <w:p w14:paraId="0E470CBF" w14:textId="77777777" w:rsidR="00D71CE1" w:rsidRDefault="00D71CE1" w:rsidP="00D71CE1">
      <w:pPr>
        <w:spacing w:before="100" w:beforeAutospacing="1" w:after="100" w:afterAutospacing="1"/>
        <w:rPr>
          <w:color w:val="000000"/>
          <w:sz w:val="24"/>
          <w:szCs w:val="24"/>
        </w:rPr>
      </w:pPr>
      <w:r>
        <w:rPr>
          <w:color w:val="000000"/>
          <w:sz w:val="24"/>
          <w:szCs w:val="24"/>
        </w:rPr>
        <w:t xml:space="preserve">The costings in the tables below are taken from the NEL business case. These final totals are then updated to 2022 prices using the CPI.  </w:t>
      </w:r>
    </w:p>
    <w:p w14:paraId="56C0B7B4" w14:textId="77777777" w:rsidR="00D71CE1" w:rsidRDefault="00D71CE1" w:rsidP="00D71CE1">
      <w:pPr>
        <w:spacing w:before="100" w:beforeAutospacing="1" w:after="100" w:afterAutospacing="1"/>
        <w:rPr>
          <w:b/>
          <w:bCs/>
          <w:color w:val="000000"/>
          <w:sz w:val="24"/>
          <w:szCs w:val="24"/>
          <w:u w:val="single"/>
        </w:rPr>
      </w:pPr>
      <w:r w:rsidRPr="002471C7">
        <w:rPr>
          <w:b/>
          <w:bCs/>
          <w:color w:val="000000"/>
          <w:sz w:val="24"/>
          <w:szCs w:val="24"/>
          <w:u w:val="single"/>
        </w:rPr>
        <w:t>1.</w:t>
      </w:r>
      <w:r>
        <w:rPr>
          <w:b/>
          <w:bCs/>
          <w:color w:val="000000"/>
          <w:sz w:val="24"/>
          <w:szCs w:val="24"/>
          <w:u w:val="single"/>
        </w:rPr>
        <w:t>1:</w:t>
      </w:r>
      <w:r w:rsidRPr="002471C7">
        <w:rPr>
          <w:b/>
          <w:bCs/>
          <w:color w:val="000000"/>
          <w:sz w:val="24"/>
          <w:szCs w:val="24"/>
          <w:u w:val="single"/>
        </w:rPr>
        <w:t xml:space="preserve"> Secure Children’s Home </w:t>
      </w:r>
    </w:p>
    <w:p w14:paraId="3A5456B2" w14:textId="136D92D4" w:rsidR="00D71CE1" w:rsidRPr="00B335AD" w:rsidRDefault="00D71CE1" w:rsidP="00D71CE1">
      <w:pPr>
        <w:spacing w:before="100" w:beforeAutospacing="1" w:after="100" w:afterAutospacing="1"/>
        <w:rPr>
          <w:color w:val="000000"/>
          <w:sz w:val="24"/>
          <w:szCs w:val="24"/>
        </w:rPr>
      </w:pPr>
      <w:r w:rsidRPr="00AC7900">
        <w:rPr>
          <w:i/>
          <w:iCs/>
          <w:noProof/>
          <w:sz w:val="16"/>
          <w:szCs w:val="16"/>
          <w:lang w:eastAsia="en-GB"/>
        </w:rPr>
        <w:drawing>
          <wp:anchor distT="0" distB="0" distL="114300" distR="114300" simplePos="0" relativeHeight="251659264" behindDoc="1" locked="0" layoutInCell="1" allowOverlap="1" wp14:anchorId="698F2191" wp14:editId="3307A7FF">
            <wp:simplePos x="0" y="0"/>
            <wp:positionH relativeFrom="column">
              <wp:posOffset>-17780</wp:posOffset>
            </wp:positionH>
            <wp:positionV relativeFrom="paragraph">
              <wp:posOffset>601345</wp:posOffset>
            </wp:positionV>
            <wp:extent cx="1784985" cy="1431290"/>
            <wp:effectExtent l="0" t="0" r="5715" b="0"/>
            <wp:wrapTight wrapText="bothSides">
              <wp:wrapPolygon edited="0">
                <wp:start x="0" y="0"/>
                <wp:lineTo x="0" y="21274"/>
                <wp:lineTo x="21439" y="21274"/>
                <wp:lineTo x="21439" y="0"/>
                <wp:lineTo x="0" y="0"/>
              </wp:wrapPolygon>
            </wp:wrapTight>
            <wp:docPr id="32" name="Picture 3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7610" t="45282" r="59956" b="22720"/>
                    <a:stretch/>
                  </pic:blipFill>
                  <pic:spPr bwMode="auto">
                    <a:xfrm>
                      <a:off x="0" y="0"/>
                      <a:ext cx="1784985" cy="143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sz w:val="24"/>
          <w:szCs w:val="24"/>
        </w:rPr>
        <w:t xml:space="preserve">The current plan is for the proposed Secure Children’s Home provision to contain 24 beds, in one </w:t>
      </w:r>
      <w:r w:rsidR="0022399E">
        <w:rPr>
          <w:color w:val="000000"/>
          <w:sz w:val="24"/>
          <w:szCs w:val="24"/>
        </w:rPr>
        <w:t>site</w:t>
      </w:r>
      <w:r>
        <w:rPr>
          <w:color w:val="000000"/>
          <w:sz w:val="24"/>
          <w:szCs w:val="24"/>
        </w:rPr>
        <w:t>. The below table from the business case shows the estimated annual running costs of various sizes of SCH in 2019/20 prices.</w:t>
      </w:r>
    </w:p>
    <w:p w14:paraId="508ED07E" w14:textId="77777777" w:rsidR="00D71CE1" w:rsidRPr="00AC7900" w:rsidRDefault="00D71CE1" w:rsidP="00D71CE1">
      <w:pPr>
        <w:spacing w:before="100" w:beforeAutospacing="1" w:after="100" w:afterAutospacing="1"/>
        <w:rPr>
          <w:i/>
          <w:iCs/>
          <w:color w:val="000000"/>
          <w:sz w:val="18"/>
          <w:szCs w:val="18"/>
        </w:rPr>
      </w:pPr>
      <w:r w:rsidRPr="00AC7900">
        <w:rPr>
          <w:i/>
          <w:iCs/>
          <w:color w:val="000000"/>
          <w:sz w:val="18"/>
          <w:szCs w:val="18"/>
        </w:rPr>
        <w:t>Shows indicative annual running costs for various sizes of SCHs.</w:t>
      </w:r>
    </w:p>
    <w:p w14:paraId="11E145D9" w14:textId="78DCF786" w:rsidR="00D71CE1" w:rsidRDefault="00D71CE1" w:rsidP="00D71CE1">
      <w:pPr>
        <w:spacing w:before="100" w:beforeAutospacing="1" w:after="100" w:afterAutospacing="1"/>
        <w:rPr>
          <w:color w:val="000000"/>
          <w:sz w:val="24"/>
          <w:szCs w:val="24"/>
        </w:rPr>
      </w:pPr>
      <w:r>
        <w:rPr>
          <w:color w:val="000000"/>
          <w:sz w:val="24"/>
          <w:szCs w:val="24"/>
        </w:rPr>
        <w:t>Taking the proposal for 2 x 12 bed homes</w:t>
      </w:r>
      <w:r w:rsidR="0022399E">
        <w:rPr>
          <w:color w:val="000000"/>
          <w:sz w:val="24"/>
          <w:szCs w:val="24"/>
        </w:rPr>
        <w:t xml:space="preserve"> (24 beds)</w:t>
      </w:r>
      <w:r>
        <w:rPr>
          <w:color w:val="000000"/>
          <w:sz w:val="24"/>
          <w:szCs w:val="24"/>
        </w:rPr>
        <w:t xml:space="preserve">, and updating this figure to 2022 prices, the current annual running cost for the Secure Children’s Home proposed is </w:t>
      </w:r>
      <w:r w:rsidRPr="001D2A63">
        <w:rPr>
          <w:b/>
          <w:bCs/>
          <w:color w:val="000000"/>
          <w:sz w:val="24"/>
          <w:szCs w:val="24"/>
        </w:rPr>
        <w:t>£8.06m</w:t>
      </w:r>
      <w:r>
        <w:rPr>
          <w:color w:val="000000"/>
          <w:sz w:val="24"/>
          <w:szCs w:val="24"/>
        </w:rPr>
        <w:t xml:space="preserve">. </w:t>
      </w:r>
    </w:p>
    <w:p w14:paraId="0A4141AB" w14:textId="77777777" w:rsidR="00D71CE1" w:rsidRDefault="00D71CE1" w:rsidP="00D71CE1">
      <w:pPr>
        <w:spacing w:before="100" w:beforeAutospacing="1" w:after="100" w:afterAutospacing="1"/>
        <w:rPr>
          <w:b/>
          <w:bCs/>
          <w:color w:val="000000"/>
          <w:sz w:val="24"/>
          <w:szCs w:val="24"/>
          <w:u w:val="single"/>
        </w:rPr>
      </w:pPr>
    </w:p>
    <w:p w14:paraId="0480FA91" w14:textId="77777777" w:rsidR="00D71CE1" w:rsidRDefault="00D71CE1" w:rsidP="00D71CE1">
      <w:pPr>
        <w:spacing w:before="100" w:beforeAutospacing="1" w:after="100" w:afterAutospacing="1"/>
        <w:rPr>
          <w:b/>
          <w:bCs/>
          <w:color w:val="000000"/>
          <w:sz w:val="24"/>
          <w:szCs w:val="24"/>
          <w:u w:val="single"/>
        </w:rPr>
      </w:pPr>
    </w:p>
    <w:p w14:paraId="63193E0D" w14:textId="31B9D78B" w:rsidR="00D71CE1" w:rsidRDefault="00D71CE1" w:rsidP="00D71CE1">
      <w:pPr>
        <w:spacing w:before="100" w:beforeAutospacing="1" w:after="100" w:afterAutospacing="1"/>
        <w:rPr>
          <w:b/>
          <w:bCs/>
          <w:color w:val="000000"/>
          <w:sz w:val="24"/>
          <w:szCs w:val="24"/>
          <w:u w:val="single"/>
        </w:rPr>
      </w:pPr>
      <w:r w:rsidRPr="001A2BE0">
        <w:rPr>
          <w:b/>
          <w:bCs/>
          <w:color w:val="000000"/>
          <w:sz w:val="24"/>
          <w:szCs w:val="24"/>
          <w:u w:val="single"/>
        </w:rPr>
        <w:t>1.</w:t>
      </w:r>
      <w:r>
        <w:rPr>
          <w:b/>
          <w:bCs/>
          <w:color w:val="000000"/>
          <w:sz w:val="24"/>
          <w:szCs w:val="24"/>
          <w:u w:val="single"/>
        </w:rPr>
        <w:t>2</w:t>
      </w:r>
      <w:r w:rsidRPr="001A2BE0">
        <w:rPr>
          <w:b/>
          <w:bCs/>
          <w:color w:val="000000"/>
          <w:sz w:val="24"/>
          <w:szCs w:val="24"/>
          <w:u w:val="single"/>
        </w:rPr>
        <w:t>: Pan-London Vehicle</w:t>
      </w:r>
    </w:p>
    <w:p w14:paraId="4166262F" w14:textId="418EB328" w:rsidR="003501B6" w:rsidRPr="001A2BE0" w:rsidRDefault="003501B6" w:rsidP="00D71CE1">
      <w:pPr>
        <w:spacing w:before="100" w:beforeAutospacing="1" w:after="100" w:afterAutospacing="1"/>
        <w:rPr>
          <w:b/>
          <w:bCs/>
          <w:color w:val="000000"/>
          <w:sz w:val="24"/>
          <w:szCs w:val="24"/>
          <w:u w:val="single"/>
        </w:rPr>
      </w:pPr>
      <w:r w:rsidRPr="00CB4D91">
        <w:rPr>
          <w:i/>
          <w:iCs/>
          <w:noProof/>
          <w:sz w:val="18"/>
          <w:szCs w:val="18"/>
          <w:lang w:eastAsia="en-GB"/>
        </w:rPr>
        <w:drawing>
          <wp:anchor distT="0" distB="0" distL="114300" distR="114300" simplePos="0" relativeHeight="251660288" behindDoc="1" locked="0" layoutInCell="1" allowOverlap="1" wp14:anchorId="47C49FD4" wp14:editId="34E2097D">
            <wp:simplePos x="0" y="0"/>
            <wp:positionH relativeFrom="column">
              <wp:posOffset>0</wp:posOffset>
            </wp:positionH>
            <wp:positionV relativeFrom="paragraph">
              <wp:posOffset>202565</wp:posOffset>
            </wp:positionV>
            <wp:extent cx="4698460" cy="1533525"/>
            <wp:effectExtent l="0" t="0" r="6985" b="0"/>
            <wp:wrapTight wrapText="bothSides">
              <wp:wrapPolygon edited="0">
                <wp:start x="0" y="0"/>
                <wp:lineTo x="0" y="21198"/>
                <wp:lineTo x="21545" y="21198"/>
                <wp:lineTo x="21545" y="0"/>
                <wp:lineTo x="0" y="0"/>
              </wp:wrapPolygon>
            </wp:wrapTight>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4292" t="38408" r="13915" b="19934"/>
                    <a:stretch/>
                  </pic:blipFill>
                  <pic:spPr bwMode="auto">
                    <a:xfrm>
                      <a:off x="0" y="0"/>
                      <a:ext cx="4698460" cy="1533525"/>
                    </a:xfrm>
                    <a:prstGeom prst="rect">
                      <a:avLst/>
                    </a:prstGeom>
                    <a:ln>
                      <a:noFill/>
                    </a:ln>
                    <a:extLst>
                      <a:ext uri="{53640926-AAD7-44D8-BBD7-CCE9431645EC}">
                        <a14:shadowObscured xmlns:a14="http://schemas.microsoft.com/office/drawing/2010/main"/>
                      </a:ext>
                    </a:extLst>
                  </pic:spPr>
                </pic:pic>
              </a:graphicData>
            </a:graphic>
          </wp:anchor>
        </w:drawing>
      </w:r>
    </w:p>
    <w:p w14:paraId="5A6E6D76" w14:textId="10D0BFE5" w:rsidR="00D71CE1" w:rsidRDefault="00D71CE1" w:rsidP="00D71CE1">
      <w:pPr>
        <w:spacing w:before="100" w:beforeAutospacing="1" w:after="100" w:afterAutospacing="1"/>
        <w:rPr>
          <w:color w:val="000000"/>
          <w:sz w:val="24"/>
          <w:szCs w:val="24"/>
        </w:rPr>
      </w:pPr>
      <w:r w:rsidRPr="00CB4D91">
        <w:rPr>
          <w:i/>
          <w:iCs/>
          <w:color w:val="000000"/>
          <w:sz w:val="18"/>
          <w:szCs w:val="18"/>
        </w:rPr>
        <w:t>Shows estimated costs of running the PLV annually and in the first year</w:t>
      </w:r>
      <w:r>
        <w:rPr>
          <w:i/>
          <w:iCs/>
          <w:color w:val="000000"/>
          <w:sz w:val="18"/>
          <w:szCs w:val="18"/>
        </w:rPr>
        <w:t xml:space="preserve"> in 2019/20</w:t>
      </w:r>
    </w:p>
    <w:p w14:paraId="596A218E" w14:textId="77777777" w:rsidR="00D71CE1" w:rsidRDefault="00D71CE1" w:rsidP="00D71CE1">
      <w:pPr>
        <w:spacing w:before="100" w:beforeAutospacing="1" w:after="100" w:afterAutospacing="1"/>
        <w:rPr>
          <w:color w:val="000000"/>
          <w:sz w:val="24"/>
          <w:szCs w:val="24"/>
        </w:rPr>
      </w:pPr>
    </w:p>
    <w:p w14:paraId="51395B6A" w14:textId="77777777" w:rsidR="003501B6" w:rsidRDefault="003501B6" w:rsidP="00D71CE1">
      <w:pPr>
        <w:spacing w:before="100" w:beforeAutospacing="1" w:after="100" w:afterAutospacing="1"/>
        <w:rPr>
          <w:b/>
          <w:bCs/>
          <w:color w:val="000000"/>
          <w:sz w:val="24"/>
          <w:szCs w:val="24"/>
          <w:u w:val="single"/>
        </w:rPr>
      </w:pPr>
    </w:p>
    <w:tbl>
      <w:tblPr>
        <w:tblStyle w:val="TableGrid"/>
        <w:tblW w:w="9041" w:type="dxa"/>
        <w:tblLook w:val="04A0" w:firstRow="1" w:lastRow="0" w:firstColumn="1" w:lastColumn="0" w:noHBand="0" w:noVBand="1"/>
      </w:tblPr>
      <w:tblGrid>
        <w:gridCol w:w="4106"/>
        <w:gridCol w:w="2552"/>
        <w:gridCol w:w="2383"/>
      </w:tblGrid>
      <w:tr w:rsidR="003501B6" w14:paraId="6F099C8E" w14:textId="77777777" w:rsidTr="0022399E">
        <w:trPr>
          <w:trHeight w:val="538"/>
        </w:trPr>
        <w:tc>
          <w:tcPr>
            <w:tcW w:w="4106" w:type="dxa"/>
            <w:shd w:val="clear" w:color="auto" w:fill="E7E6E6" w:themeFill="background2"/>
          </w:tcPr>
          <w:p w14:paraId="50B9ED41" w14:textId="77777777" w:rsidR="003501B6" w:rsidRPr="0022399E" w:rsidRDefault="003501B6" w:rsidP="0041018F">
            <w:pPr>
              <w:spacing w:before="100" w:beforeAutospacing="1" w:after="100" w:afterAutospacing="1"/>
              <w:rPr>
                <w:b/>
                <w:bCs/>
                <w:color w:val="000000"/>
                <w:sz w:val="24"/>
                <w:szCs w:val="24"/>
              </w:rPr>
            </w:pPr>
            <w:r w:rsidRPr="0022399E">
              <w:rPr>
                <w:b/>
                <w:bCs/>
                <w:color w:val="000000"/>
                <w:sz w:val="24"/>
                <w:szCs w:val="24"/>
              </w:rPr>
              <w:t>PLV operational costs in 2022</w:t>
            </w:r>
          </w:p>
        </w:tc>
        <w:tc>
          <w:tcPr>
            <w:tcW w:w="2552" w:type="dxa"/>
            <w:shd w:val="clear" w:color="auto" w:fill="E7E6E6" w:themeFill="background2"/>
          </w:tcPr>
          <w:p w14:paraId="07CFA930" w14:textId="77777777" w:rsidR="003501B6" w:rsidRPr="0022399E" w:rsidRDefault="003501B6" w:rsidP="0041018F">
            <w:pPr>
              <w:spacing w:before="100" w:beforeAutospacing="1" w:after="100" w:afterAutospacing="1"/>
              <w:rPr>
                <w:b/>
                <w:bCs/>
                <w:color w:val="000000"/>
                <w:sz w:val="24"/>
                <w:szCs w:val="24"/>
              </w:rPr>
            </w:pPr>
            <w:r w:rsidRPr="0022399E">
              <w:rPr>
                <w:b/>
                <w:bCs/>
                <w:color w:val="000000"/>
                <w:sz w:val="24"/>
                <w:szCs w:val="24"/>
              </w:rPr>
              <w:t>Year 1</w:t>
            </w:r>
          </w:p>
        </w:tc>
        <w:tc>
          <w:tcPr>
            <w:tcW w:w="2383" w:type="dxa"/>
            <w:shd w:val="clear" w:color="auto" w:fill="E7E6E6" w:themeFill="background2"/>
          </w:tcPr>
          <w:p w14:paraId="449A505B" w14:textId="77777777" w:rsidR="003501B6" w:rsidRPr="0022399E" w:rsidRDefault="003501B6" w:rsidP="0041018F">
            <w:pPr>
              <w:spacing w:before="100" w:beforeAutospacing="1" w:after="100" w:afterAutospacing="1"/>
              <w:rPr>
                <w:b/>
                <w:bCs/>
                <w:color w:val="000000"/>
                <w:sz w:val="24"/>
                <w:szCs w:val="24"/>
              </w:rPr>
            </w:pPr>
            <w:r w:rsidRPr="0022399E">
              <w:rPr>
                <w:b/>
                <w:bCs/>
                <w:color w:val="000000"/>
                <w:sz w:val="24"/>
                <w:szCs w:val="24"/>
              </w:rPr>
              <w:t>Ongoing</w:t>
            </w:r>
          </w:p>
        </w:tc>
      </w:tr>
      <w:tr w:rsidR="003501B6" w14:paraId="16271E7C" w14:textId="77777777" w:rsidTr="0022399E">
        <w:trPr>
          <w:trHeight w:val="262"/>
        </w:trPr>
        <w:tc>
          <w:tcPr>
            <w:tcW w:w="4106" w:type="dxa"/>
            <w:shd w:val="clear" w:color="auto" w:fill="E7E6E6" w:themeFill="background2"/>
          </w:tcPr>
          <w:p w14:paraId="5EC7EA32" w14:textId="77777777" w:rsidR="003501B6" w:rsidRPr="0022399E" w:rsidRDefault="003501B6" w:rsidP="0041018F">
            <w:pPr>
              <w:spacing w:before="100" w:beforeAutospacing="1" w:after="100" w:afterAutospacing="1"/>
              <w:rPr>
                <w:b/>
                <w:bCs/>
                <w:color w:val="000000"/>
                <w:sz w:val="24"/>
                <w:szCs w:val="24"/>
              </w:rPr>
            </w:pPr>
            <w:r w:rsidRPr="0022399E">
              <w:rPr>
                <w:b/>
                <w:bCs/>
                <w:color w:val="000000"/>
                <w:sz w:val="24"/>
                <w:szCs w:val="24"/>
              </w:rPr>
              <w:t>Total</w:t>
            </w:r>
          </w:p>
        </w:tc>
        <w:tc>
          <w:tcPr>
            <w:tcW w:w="2552" w:type="dxa"/>
          </w:tcPr>
          <w:p w14:paraId="36706EAF" w14:textId="77777777" w:rsidR="003501B6" w:rsidRPr="0022399E" w:rsidRDefault="003501B6" w:rsidP="0041018F">
            <w:pPr>
              <w:spacing w:before="100" w:beforeAutospacing="1" w:after="100" w:afterAutospacing="1"/>
              <w:rPr>
                <w:color w:val="000000"/>
                <w:sz w:val="24"/>
                <w:szCs w:val="24"/>
              </w:rPr>
            </w:pPr>
            <w:r w:rsidRPr="0022399E">
              <w:rPr>
                <w:color w:val="000000"/>
                <w:sz w:val="24"/>
                <w:szCs w:val="24"/>
              </w:rPr>
              <w:t>£553,000</w:t>
            </w:r>
          </w:p>
        </w:tc>
        <w:tc>
          <w:tcPr>
            <w:tcW w:w="2383" w:type="dxa"/>
          </w:tcPr>
          <w:p w14:paraId="12530658" w14:textId="77777777" w:rsidR="003501B6" w:rsidRPr="0022399E" w:rsidRDefault="003501B6" w:rsidP="0041018F">
            <w:pPr>
              <w:spacing w:before="100" w:beforeAutospacing="1" w:after="100" w:afterAutospacing="1"/>
              <w:rPr>
                <w:color w:val="000000"/>
                <w:sz w:val="24"/>
                <w:szCs w:val="24"/>
              </w:rPr>
            </w:pPr>
            <w:r w:rsidRPr="0022399E">
              <w:rPr>
                <w:color w:val="000000"/>
                <w:sz w:val="24"/>
                <w:szCs w:val="24"/>
              </w:rPr>
              <w:t>£465,000</w:t>
            </w:r>
          </w:p>
        </w:tc>
      </w:tr>
    </w:tbl>
    <w:p w14:paraId="5C8761A5" w14:textId="77777777" w:rsidR="003501B6" w:rsidRDefault="003501B6" w:rsidP="00D71CE1">
      <w:pPr>
        <w:spacing w:before="100" w:beforeAutospacing="1" w:after="100" w:afterAutospacing="1"/>
        <w:rPr>
          <w:b/>
          <w:bCs/>
          <w:color w:val="000000"/>
          <w:sz w:val="24"/>
          <w:szCs w:val="24"/>
          <w:u w:val="single"/>
        </w:rPr>
      </w:pPr>
    </w:p>
    <w:p w14:paraId="1AC968D9" w14:textId="42AC06A3" w:rsidR="00D71CE1" w:rsidRPr="00B335AD" w:rsidRDefault="00D71CE1" w:rsidP="00D71CE1">
      <w:pPr>
        <w:spacing w:before="100" w:beforeAutospacing="1" w:after="100" w:afterAutospacing="1"/>
        <w:rPr>
          <w:b/>
          <w:bCs/>
          <w:color w:val="000000"/>
          <w:sz w:val="24"/>
          <w:szCs w:val="24"/>
          <w:u w:val="single"/>
        </w:rPr>
      </w:pPr>
      <w:r w:rsidRPr="00B335AD">
        <w:rPr>
          <w:b/>
          <w:bCs/>
          <w:color w:val="000000"/>
          <w:sz w:val="24"/>
          <w:szCs w:val="24"/>
          <w:u w:val="single"/>
        </w:rPr>
        <w:t>1.3: Transport Costs</w:t>
      </w:r>
    </w:p>
    <w:p w14:paraId="3BC80ED8" w14:textId="77777777" w:rsidR="00D71CE1" w:rsidRDefault="00D71CE1" w:rsidP="0022399E">
      <w:pPr>
        <w:spacing w:before="100" w:beforeAutospacing="1" w:after="100" w:afterAutospacing="1"/>
        <w:jc w:val="both"/>
        <w:rPr>
          <w:color w:val="000000"/>
          <w:sz w:val="24"/>
          <w:szCs w:val="24"/>
        </w:rPr>
      </w:pPr>
      <w:r>
        <w:rPr>
          <w:color w:val="000000"/>
          <w:sz w:val="24"/>
          <w:szCs w:val="24"/>
        </w:rPr>
        <w:t>Current transport costs (with no London SCH) in 2019/20 were estimated in the NEL business case to be £126,000. Updated to 2022 prices, this is £140,000.</w:t>
      </w:r>
    </w:p>
    <w:p w14:paraId="04EE4F49" w14:textId="77777777" w:rsidR="00D71CE1" w:rsidRDefault="00D71CE1" w:rsidP="0022399E">
      <w:pPr>
        <w:spacing w:before="100" w:beforeAutospacing="1" w:after="100" w:afterAutospacing="1"/>
        <w:jc w:val="both"/>
        <w:rPr>
          <w:color w:val="000000"/>
          <w:sz w:val="24"/>
          <w:szCs w:val="24"/>
        </w:rPr>
      </w:pPr>
      <w:r>
        <w:rPr>
          <w:color w:val="000000"/>
          <w:sz w:val="24"/>
          <w:szCs w:val="24"/>
        </w:rPr>
        <w:t xml:space="preserve">The NEL business case suggested that LAs could expect the current transport costs to be halved by the creation of a London SCH. On this basis, transport costs in 2022, with the creation of a Secure Children’s Home in London, would be: </w:t>
      </w:r>
      <w:r w:rsidRPr="00422905">
        <w:rPr>
          <w:b/>
          <w:bCs/>
          <w:color w:val="000000"/>
          <w:sz w:val="24"/>
          <w:szCs w:val="24"/>
        </w:rPr>
        <w:t>£70,000</w:t>
      </w:r>
      <w:r>
        <w:rPr>
          <w:color w:val="000000"/>
          <w:sz w:val="24"/>
          <w:szCs w:val="24"/>
        </w:rPr>
        <w:t>.</w:t>
      </w:r>
    </w:p>
    <w:p w14:paraId="45645CB1" w14:textId="77777777" w:rsidR="00D71CE1" w:rsidRPr="00B335AD" w:rsidRDefault="00D71CE1" w:rsidP="00D71CE1">
      <w:pPr>
        <w:spacing w:before="100" w:beforeAutospacing="1" w:after="100" w:afterAutospacing="1"/>
        <w:rPr>
          <w:b/>
          <w:bCs/>
          <w:color w:val="000000"/>
          <w:sz w:val="24"/>
          <w:szCs w:val="24"/>
          <w:u w:val="single"/>
        </w:rPr>
      </w:pPr>
      <w:r w:rsidRPr="00B335AD">
        <w:rPr>
          <w:b/>
          <w:bCs/>
          <w:color w:val="000000"/>
          <w:sz w:val="24"/>
          <w:szCs w:val="24"/>
          <w:u w:val="single"/>
        </w:rPr>
        <w:t>1.4: Total Indicative Cost to London</w:t>
      </w:r>
    </w:p>
    <w:tbl>
      <w:tblPr>
        <w:tblStyle w:val="TableGrid"/>
        <w:tblW w:w="9109" w:type="dxa"/>
        <w:tblLook w:val="04A0" w:firstRow="1" w:lastRow="0" w:firstColumn="1" w:lastColumn="0" w:noHBand="0" w:noVBand="1"/>
      </w:tblPr>
      <w:tblGrid>
        <w:gridCol w:w="6941"/>
        <w:gridCol w:w="2168"/>
      </w:tblGrid>
      <w:tr w:rsidR="00D71CE1" w14:paraId="37EEF5FE" w14:textId="77777777" w:rsidTr="0022399E">
        <w:trPr>
          <w:trHeight w:val="494"/>
        </w:trPr>
        <w:tc>
          <w:tcPr>
            <w:tcW w:w="6941" w:type="dxa"/>
            <w:shd w:val="clear" w:color="auto" w:fill="E7E6E6" w:themeFill="background2"/>
          </w:tcPr>
          <w:p w14:paraId="3644BC7B" w14:textId="194448E8" w:rsidR="00D71CE1" w:rsidRPr="0022399E" w:rsidRDefault="00D71CE1" w:rsidP="0041018F">
            <w:pPr>
              <w:spacing w:before="100" w:beforeAutospacing="1" w:after="100" w:afterAutospacing="1"/>
              <w:rPr>
                <w:b/>
                <w:bCs/>
                <w:color w:val="000000"/>
                <w:sz w:val="24"/>
                <w:szCs w:val="24"/>
              </w:rPr>
            </w:pPr>
          </w:p>
        </w:tc>
        <w:tc>
          <w:tcPr>
            <w:tcW w:w="2168" w:type="dxa"/>
            <w:shd w:val="clear" w:color="auto" w:fill="E7E6E6" w:themeFill="background2"/>
          </w:tcPr>
          <w:p w14:paraId="05FF8DC8" w14:textId="77777777" w:rsidR="00D71CE1" w:rsidRPr="0022399E" w:rsidRDefault="00D71CE1" w:rsidP="0041018F">
            <w:pPr>
              <w:spacing w:before="100" w:beforeAutospacing="1" w:after="100" w:afterAutospacing="1"/>
              <w:rPr>
                <w:b/>
                <w:bCs/>
                <w:color w:val="000000"/>
                <w:sz w:val="24"/>
                <w:szCs w:val="24"/>
              </w:rPr>
            </w:pPr>
            <w:r w:rsidRPr="0022399E">
              <w:rPr>
                <w:b/>
                <w:bCs/>
                <w:color w:val="000000"/>
                <w:sz w:val="24"/>
                <w:szCs w:val="24"/>
              </w:rPr>
              <w:t>Estimated costs for 2022</w:t>
            </w:r>
          </w:p>
        </w:tc>
      </w:tr>
      <w:tr w:rsidR="00D71CE1" w14:paraId="69F2C2E2" w14:textId="77777777" w:rsidTr="0022399E">
        <w:trPr>
          <w:trHeight w:val="277"/>
        </w:trPr>
        <w:tc>
          <w:tcPr>
            <w:tcW w:w="6941" w:type="dxa"/>
            <w:shd w:val="clear" w:color="auto" w:fill="E7E6E6" w:themeFill="background2"/>
          </w:tcPr>
          <w:p w14:paraId="655FDDEC" w14:textId="1BFEB35F" w:rsidR="00D71CE1" w:rsidRDefault="00D71CE1" w:rsidP="0041018F">
            <w:pPr>
              <w:spacing w:before="100" w:beforeAutospacing="1" w:after="100" w:afterAutospacing="1"/>
              <w:rPr>
                <w:color w:val="000000"/>
                <w:sz w:val="24"/>
                <w:szCs w:val="24"/>
              </w:rPr>
            </w:pPr>
            <w:r>
              <w:rPr>
                <w:color w:val="000000"/>
                <w:sz w:val="24"/>
                <w:szCs w:val="24"/>
              </w:rPr>
              <w:t>Running cost for 24 beds</w:t>
            </w:r>
            <w:r w:rsidR="005A0E73">
              <w:rPr>
                <w:color w:val="000000"/>
                <w:sz w:val="24"/>
                <w:szCs w:val="24"/>
              </w:rPr>
              <w:t xml:space="preserve"> </w:t>
            </w:r>
            <w:r w:rsidR="005A0E73" w:rsidRPr="0022399E">
              <w:rPr>
                <w:i/>
                <w:iCs/>
                <w:color w:val="000000"/>
                <w:sz w:val="24"/>
                <w:szCs w:val="24"/>
              </w:rPr>
              <w:t>including provider profit margin</w:t>
            </w:r>
          </w:p>
        </w:tc>
        <w:tc>
          <w:tcPr>
            <w:tcW w:w="2168" w:type="dxa"/>
          </w:tcPr>
          <w:p w14:paraId="29D19FF8" w14:textId="77777777" w:rsidR="00D71CE1" w:rsidRDefault="00D71CE1" w:rsidP="0041018F">
            <w:pPr>
              <w:spacing w:before="100" w:beforeAutospacing="1" w:after="100" w:afterAutospacing="1"/>
              <w:jc w:val="right"/>
              <w:rPr>
                <w:color w:val="000000"/>
                <w:sz w:val="24"/>
                <w:szCs w:val="24"/>
              </w:rPr>
            </w:pPr>
            <w:r>
              <w:rPr>
                <w:color w:val="000000"/>
                <w:sz w:val="24"/>
                <w:szCs w:val="24"/>
              </w:rPr>
              <w:t>8060000</w:t>
            </w:r>
          </w:p>
        </w:tc>
      </w:tr>
      <w:tr w:rsidR="00D71CE1" w14:paraId="0C39EB52" w14:textId="77777777" w:rsidTr="0022399E">
        <w:trPr>
          <w:trHeight w:val="240"/>
        </w:trPr>
        <w:tc>
          <w:tcPr>
            <w:tcW w:w="6941" w:type="dxa"/>
            <w:shd w:val="clear" w:color="auto" w:fill="E7E6E6" w:themeFill="background2"/>
          </w:tcPr>
          <w:p w14:paraId="212B577B" w14:textId="77777777" w:rsidR="00D71CE1" w:rsidRDefault="00D71CE1" w:rsidP="0041018F">
            <w:pPr>
              <w:spacing w:before="100" w:beforeAutospacing="1" w:after="100" w:afterAutospacing="1"/>
              <w:rPr>
                <w:color w:val="000000"/>
                <w:sz w:val="24"/>
                <w:szCs w:val="24"/>
              </w:rPr>
            </w:pPr>
            <w:r>
              <w:rPr>
                <w:color w:val="000000"/>
                <w:sz w:val="24"/>
                <w:szCs w:val="24"/>
              </w:rPr>
              <w:t>PLV Annual Cost</w:t>
            </w:r>
          </w:p>
        </w:tc>
        <w:tc>
          <w:tcPr>
            <w:tcW w:w="2168" w:type="dxa"/>
          </w:tcPr>
          <w:p w14:paraId="16C7DB6F" w14:textId="77777777" w:rsidR="00D71CE1" w:rsidRDefault="00D71CE1" w:rsidP="0041018F">
            <w:pPr>
              <w:spacing w:before="100" w:beforeAutospacing="1" w:after="100" w:afterAutospacing="1"/>
              <w:jc w:val="right"/>
              <w:rPr>
                <w:color w:val="000000"/>
                <w:sz w:val="24"/>
                <w:szCs w:val="24"/>
              </w:rPr>
            </w:pPr>
            <w:r>
              <w:rPr>
                <w:color w:val="000000"/>
                <w:sz w:val="24"/>
                <w:szCs w:val="24"/>
              </w:rPr>
              <w:t>465000</w:t>
            </w:r>
          </w:p>
        </w:tc>
      </w:tr>
      <w:tr w:rsidR="00D71CE1" w14:paraId="1DF51D3F" w14:textId="77777777" w:rsidTr="0022399E">
        <w:trPr>
          <w:trHeight w:val="253"/>
        </w:trPr>
        <w:tc>
          <w:tcPr>
            <w:tcW w:w="6941" w:type="dxa"/>
            <w:shd w:val="clear" w:color="auto" w:fill="E7E6E6" w:themeFill="background2"/>
          </w:tcPr>
          <w:p w14:paraId="250572E5" w14:textId="77777777" w:rsidR="00D71CE1" w:rsidRDefault="00D71CE1" w:rsidP="0041018F">
            <w:pPr>
              <w:spacing w:before="100" w:beforeAutospacing="1" w:after="100" w:afterAutospacing="1"/>
              <w:rPr>
                <w:color w:val="000000"/>
                <w:sz w:val="24"/>
                <w:szCs w:val="24"/>
              </w:rPr>
            </w:pPr>
            <w:r>
              <w:rPr>
                <w:color w:val="000000"/>
                <w:sz w:val="24"/>
                <w:szCs w:val="24"/>
              </w:rPr>
              <w:t>Secure Transport Cost</w:t>
            </w:r>
          </w:p>
        </w:tc>
        <w:tc>
          <w:tcPr>
            <w:tcW w:w="2168" w:type="dxa"/>
          </w:tcPr>
          <w:p w14:paraId="5D158751" w14:textId="77777777" w:rsidR="00D71CE1" w:rsidRDefault="00D71CE1" w:rsidP="0041018F">
            <w:pPr>
              <w:spacing w:before="100" w:beforeAutospacing="1" w:after="100" w:afterAutospacing="1"/>
              <w:jc w:val="right"/>
              <w:rPr>
                <w:color w:val="000000"/>
                <w:sz w:val="24"/>
                <w:szCs w:val="24"/>
              </w:rPr>
            </w:pPr>
            <w:r>
              <w:rPr>
                <w:color w:val="000000"/>
                <w:sz w:val="24"/>
                <w:szCs w:val="24"/>
              </w:rPr>
              <w:t>70000</w:t>
            </w:r>
          </w:p>
        </w:tc>
      </w:tr>
      <w:tr w:rsidR="00D71CE1" w14:paraId="75EF3DB3" w14:textId="77777777" w:rsidTr="0022399E">
        <w:trPr>
          <w:trHeight w:val="240"/>
        </w:trPr>
        <w:tc>
          <w:tcPr>
            <w:tcW w:w="6941" w:type="dxa"/>
            <w:shd w:val="clear" w:color="auto" w:fill="E7E6E6" w:themeFill="background2"/>
          </w:tcPr>
          <w:p w14:paraId="5F6FC62A" w14:textId="77777777" w:rsidR="00D71CE1" w:rsidRPr="0022399E" w:rsidRDefault="00D71CE1" w:rsidP="0041018F">
            <w:pPr>
              <w:spacing w:before="100" w:beforeAutospacing="1" w:after="100" w:afterAutospacing="1"/>
              <w:rPr>
                <w:b/>
                <w:bCs/>
                <w:color w:val="000000"/>
                <w:sz w:val="24"/>
                <w:szCs w:val="24"/>
              </w:rPr>
            </w:pPr>
            <w:r w:rsidRPr="0022399E">
              <w:rPr>
                <w:b/>
                <w:bCs/>
                <w:color w:val="000000"/>
                <w:sz w:val="24"/>
                <w:szCs w:val="24"/>
              </w:rPr>
              <w:t>Total</w:t>
            </w:r>
          </w:p>
        </w:tc>
        <w:tc>
          <w:tcPr>
            <w:tcW w:w="2168" w:type="dxa"/>
          </w:tcPr>
          <w:p w14:paraId="5E120FA6" w14:textId="77777777" w:rsidR="00D71CE1" w:rsidRPr="00B335AD" w:rsidRDefault="00D71CE1" w:rsidP="0041018F">
            <w:pPr>
              <w:spacing w:before="100" w:beforeAutospacing="1" w:after="100" w:afterAutospacing="1"/>
              <w:jc w:val="right"/>
              <w:rPr>
                <w:b/>
                <w:bCs/>
                <w:color w:val="000000"/>
                <w:sz w:val="24"/>
                <w:szCs w:val="24"/>
              </w:rPr>
            </w:pPr>
            <w:r w:rsidRPr="00B335AD">
              <w:rPr>
                <w:b/>
                <w:bCs/>
                <w:color w:val="000000"/>
                <w:sz w:val="24"/>
                <w:szCs w:val="24"/>
              </w:rPr>
              <w:t>£8,595,000</w:t>
            </w:r>
          </w:p>
        </w:tc>
      </w:tr>
    </w:tbl>
    <w:p w14:paraId="2CF3263B" w14:textId="77777777" w:rsidR="0022399E" w:rsidRDefault="0022399E" w:rsidP="00D71CE1">
      <w:pPr>
        <w:spacing w:before="100" w:beforeAutospacing="1" w:after="100" w:afterAutospacing="1"/>
        <w:rPr>
          <w:color w:val="000000"/>
          <w:sz w:val="24"/>
          <w:szCs w:val="24"/>
        </w:rPr>
      </w:pPr>
    </w:p>
    <w:p w14:paraId="1D57B9D7" w14:textId="77777777" w:rsidR="00D71CE1" w:rsidRPr="00876D9D" w:rsidRDefault="00D71CE1" w:rsidP="00D71CE1">
      <w:pPr>
        <w:pStyle w:val="ListParagraph"/>
        <w:numPr>
          <w:ilvl w:val="0"/>
          <w:numId w:val="1"/>
        </w:numPr>
        <w:spacing w:before="100" w:beforeAutospacing="1" w:after="100" w:afterAutospacing="1" w:line="240" w:lineRule="auto"/>
        <w:ind w:left="426" w:hanging="426"/>
        <w:rPr>
          <w:b/>
          <w:bCs/>
          <w:color w:val="000000"/>
          <w:sz w:val="24"/>
          <w:szCs w:val="24"/>
          <w:u w:val="single"/>
        </w:rPr>
      </w:pPr>
      <w:r w:rsidRPr="00876D9D">
        <w:rPr>
          <w:b/>
          <w:bCs/>
          <w:color w:val="000000"/>
          <w:sz w:val="24"/>
          <w:szCs w:val="24"/>
          <w:u w:val="single"/>
        </w:rPr>
        <w:t>Costs and Benefits to Participating Local Authorities</w:t>
      </w:r>
    </w:p>
    <w:p w14:paraId="49812214" w14:textId="2CC29323" w:rsidR="00D71CE1" w:rsidRDefault="00D71CE1" w:rsidP="0022399E">
      <w:pPr>
        <w:spacing w:before="100" w:beforeAutospacing="1" w:after="100" w:afterAutospacing="1"/>
        <w:jc w:val="both"/>
        <w:rPr>
          <w:color w:val="000000"/>
          <w:sz w:val="24"/>
          <w:szCs w:val="24"/>
        </w:rPr>
      </w:pPr>
      <w:r>
        <w:rPr>
          <w:color w:val="000000"/>
          <w:sz w:val="24"/>
          <w:szCs w:val="24"/>
        </w:rPr>
        <w:t xml:space="preserve">The next section of the report compares a variety of scenarios to suggest estimated surplus or loss for different weekly costs of placement. Three sample costs of placements are used: £8.25k as mid-point of current </w:t>
      </w:r>
      <w:r w:rsidR="003C00F6">
        <w:rPr>
          <w:color w:val="000000"/>
          <w:sz w:val="24"/>
          <w:szCs w:val="24"/>
        </w:rPr>
        <w:t>s</w:t>
      </w:r>
      <w:r>
        <w:rPr>
          <w:color w:val="000000"/>
          <w:sz w:val="24"/>
          <w:szCs w:val="24"/>
        </w:rPr>
        <w:t xml:space="preserve">ecure </w:t>
      </w:r>
      <w:r w:rsidR="003C00F6">
        <w:rPr>
          <w:color w:val="000000"/>
          <w:sz w:val="24"/>
          <w:szCs w:val="24"/>
        </w:rPr>
        <w:t>c</w:t>
      </w:r>
      <w:r>
        <w:rPr>
          <w:color w:val="000000"/>
          <w:sz w:val="24"/>
          <w:szCs w:val="24"/>
        </w:rPr>
        <w:t xml:space="preserve">hildren’s </w:t>
      </w:r>
      <w:r w:rsidR="003C00F6">
        <w:rPr>
          <w:color w:val="000000"/>
          <w:sz w:val="24"/>
          <w:szCs w:val="24"/>
        </w:rPr>
        <w:t>h</w:t>
      </w:r>
      <w:r>
        <w:rPr>
          <w:color w:val="000000"/>
          <w:sz w:val="24"/>
          <w:szCs w:val="24"/>
        </w:rPr>
        <w:t xml:space="preserve">ome provision; £10k; and £12k, the latter recognising the often very high cost of alternative provision when Secure Children’s Home places are not available. The outcomes of each scenario are compared at varying levels of occupancy and the effect of different </w:t>
      </w:r>
      <w:r>
        <w:rPr>
          <w:color w:val="000000"/>
          <w:sz w:val="24"/>
          <w:szCs w:val="24"/>
        </w:rPr>
        <w:lastRenderedPageBreak/>
        <w:t xml:space="preserve">numbers of local authorities signing up. The </w:t>
      </w:r>
      <w:r w:rsidR="00C3372B">
        <w:rPr>
          <w:color w:val="000000"/>
          <w:sz w:val="24"/>
          <w:szCs w:val="24"/>
        </w:rPr>
        <w:t>scenarios</w:t>
      </w:r>
      <w:r>
        <w:rPr>
          <w:color w:val="000000"/>
          <w:sz w:val="24"/>
          <w:szCs w:val="24"/>
        </w:rPr>
        <w:t xml:space="preserve"> consider occupancy at: 100%; 90%; 85%; and a final scenario (A4, B4, and C4) with occupancy of 50% in year 1 followed by 85% in each of years 2 and 3. </w:t>
      </w:r>
    </w:p>
    <w:p w14:paraId="7A054336" w14:textId="77777777" w:rsidR="00D71CE1" w:rsidRPr="00876D9D" w:rsidRDefault="00D71CE1" w:rsidP="00D71CE1">
      <w:pPr>
        <w:spacing w:before="100" w:beforeAutospacing="1" w:after="100" w:afterAutospacing="1"/>
        <w:rPr>
          <w:b/>
          <w:bCs/>
          <w:color w:val="000000"/>
          <w:sz w:val="24"/>
          <w:szCs w:val="24"/>
          <w:u w:val="single"/>
        </w:rPr>
      </w:pPr>
      <w:r w:rsidRPr="00876D9D">
        <w:rPr>
          <w:b/>
          <w:bCs/>
          <w:color w:val="000000"/>
          <w:sz w:val="24"/>
          <w:szCs w:val="24"/>
          <w:u w:val="single"/>
        </w:rPr>
        <w:t>2.1: Scenario A</w:t>
      </w:r>
    </w:p>
    <w:p w14:paraId="36F068AD" w14:textId="2ABEF555" w:rsidR="00D71CE1" w:rsidRDefault="00D71CE1" w:rsidP="00D71CE1">
      <w:pPr>
        <w:spacing w:before="100" w:beforeAutospacing="1" w:after="100" w:afterAutospacing="1"/>
        <w:rPr>
          <w:color w:val="000000"/>
          <w:sz w:val="24"/>
          <w:szCs w:val="24"/>
        </w:rPr>
      </w:pPr>
      <w:r>
        <w:rPr>
          <w:color w:val="000000"/>
          <w:sz w:val="24"/>
          <w:szCs w:val="24"/>
        </w:rPr>
        <w:t>In these scenarios, the weekly placement cost which the SCH charges the LAs is £8250 across all years (no inflation factored in)</w:t>
      </w:r>
      <w:r w:rsidR="00236F07">
        <w:rPr>
          <w:color w:val="000000"/>
          <w:sz w:val="24"/>
          <w:szCs w:val="24"/>
        </w:rPr>
        <w:t xml:space="preserve">.  </w:t>
      </w:r>
      <w:r w:rsidR="00236F07" w:rsidRPr="00236F07">
        <w:rPr>
          <w:i/>
          <w:iCs/>
          <w:color w:val="000000"/>
          <w:sz w:val="24"/>
          <w:szCs w:val="24"/>
        </w:rPr>
        <w:t>Please note, placements</w:t>
      </w:r>
      <w:r w:rsidR="00236F07">
        <w:rPr>
          <w:i/>
          <w:iCs/>
          <w:color w:val="000000"/>
          <w:sz w:val="24"/>
          <w:szCs w:val="24"/>
        </w:rPr>
        <w:t xml:space="preserve"> that could be</w:t>
      </w:r>
      <w:r w:rsidR="00236F07" w:rsidRPr="00236F07">
        <w:rPr>
          <w:i/>
          <w:iCs/>
          <w:color w:val="000000"/>
          <w:sz w:val="24"/>
          <w:szCs w:val="24"/>
        </w:rPr>
        <w:t xml:space="preserve"> made by other LAs, </w:t>
      </w:r>
      <w:r w:rsidR="00236F07">
        <w:rPr>
          <w:i/>
          <w:iCs/>
          <w:color w:val="000000"/>
          <w:sz w:val="24"/>
          <w:szCs w:val="24"/>
        </w:rPr>
        <w:t xml:space="preserve">charged </w:t>
      </w:r>
      <w:r w:rsidR="00236F07" w:rsidRPr="00236F07">
        <w:rPr>
          <w:i/>
          <w:iCs/>
          <w:color w:val="000000"/>
          <w:sz w:val="24"/>
          <w:szCs w:val="24"/>
        </w:rPr>
        <w:t>at a higher cost, have not been factored in.</w:t>
      </w:r>
    </w:p>
    <w:tbl>
      <w:tblPr>
        <w:tblStyle w:val="GridTable1Light-Accent6"/>
        <w:tblW w:w="107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401"/>
        <w:gridCol w:w="1260"/>
        <w:gridCol w:w="1260"/>
        <w:gridCol w:w="1401"/>
        <w:gridCol w:w="1120"/>
        <w:gridCol w:w="1260"/>
        <w:gridCol w:w="1264"/>
      </w:tblGrid>
      <w:tr w:rsidR="00D71CE1" w:rsidRPr="00CF5147" w14:paraId="0C37BF4C" w14:textId="77777777" w:rsidTr="003C00F6">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822" w:type="dxa"/>
            <w:tcBorders>
              <w:bottom w:val="none" w:sz="0" w:space="0" w:color="auto"/>
            </w:tcBorders>
            <w:shd w:val="clear" w:color="auto" w:fill="E7E6E6" w:themeFill="background2"/>
            <w:hideMark/>
          </w:tcPr>
          <w:p w14:paraId="3FEC8AA4" w14:textId="77777777" w:rsidR="00D71CE1" w:rsidRPr="00CF5147" w:rsidRDefault="00D71CE1" w:rsidP="0041018F">
            <w:pPr>
              <w:rPr>
                <w:sz w:val="18"/>
                <w:szCs w:val="18"/>
              </w:rPr>
            </w:pPr>
            <w:r w:rsidRPr="00CF5147">
              <w:rPr>
                <w:sz w:val="18"/>
                <w:szCs w:val="18"/>
              </w:rPr>
              <w:t>Scenario A</w:t>
            </w:r>
          </w:p>
        </w:tc>
        <w:tc>
          <w:tcPr>
            <w:tcW w:w="1401" w:type="dxa"/>
            <w:tcBorders>
              <w:bottom w:val="none" w:sz="0" w:space="0" w:color="auto"/>
            </w:tcBorders>
            <w:shd w:val="clear" w:color="auto" w:fill="E7E6E6" w:themeFill="background2"/>
            <w:hideMark/>
          </w:tcPr>
          <w:p w14:paraId="708F8E97" w14:textId="77777777" w:rsidR="00D71CE1" w:rsidRPr="00CF5147" w:rsidRDefault="00D71CE1" w:rsidP="003501B6">
            <w:pPr>
              <w:cnfStyle w:val="100000000000" w:firstRow="1" w:lastRow="0" w:firstColumn="0" w:lastColumn="0" w:oddVBand="0" w:evenVBand="0" w:oddHBand="0" w:evenHBand="0" w:firstRowFirstColumn="0" w:firstRowLastColumn="0" w:lastRowFirstColumn="0" w:lastRowLastColumn="0"/>
              <w:rPr>
                <w:sz w:val="18"/>
                <w:szCs w:val="18"/>
              </w:rPr>
            </w:pPr>
            <w:r w:rsidRPr="00CF5147">
              <w:rPr>
                <w:sz w:val="18"/>
                <w:szCs w:val="18"/>
              </w:rPr>
              <w:t>A1</w:t>
            </w:r>
          </w:p>
        </w:tc>
        <w:tc>
          <w:tcPr>
            <w:tcW w:w="1260" w:type="dxa"/>
            <w:tcBorders>
              <w:bottom w:val="none" w:sz="0" w:space="0" w:color="auto"/>
            </w:tcBorders>
            <w:shd w:val="clear" w:color="auto" w:fill="E7E6E6" w:themeFill="background2"/>
            <w:hideMark/>
          </w:tcPr>
          <w:p w14:paraId="4E5E2EF7" w14:textId="77777777" w:rsidR="00D71CE1" w:rsidRPr="00CF5147" w:rsidRDefault="00D71CE1" w:rsidP="003501B6">
            <w:pPr>
              <w:cnfStyle w:val="100000000000" w:firstRow="1" w:lastRow="0" w:firstColumn="0" w:lastColumn="0" w:oddVBand="0" w:evenVBand="0" w:oddHBand="0" w:evenHBand="0" w:firstRowFirstColumn="0" w:firstRowLastColumn="0" w:lastRowFirstColumn="0" w:lastRowLastColumn="0"/>
              <w:rPr>
                <w:sz w:val="18"/>
                <w:szCs w:val="18"/>
              </w:rPr>
            </w:pPr>
            <w:r w:rsidRPr="00CF5147">
              <w:rPr>
                <w:sz w:val="18"/>
                <w:szCs w:val="18"/>
              </w:rPr>
              <w:t>A2</w:t>
            </w:r>
          </w:p>
        </w:tc>
        <w:tc>
          <w:tcPr>
            <w:tcW w:w="1260" w:type="dxa"/>
            <w:tcBorders>
              <w:bottom w:val="none" w:sz="0" w:space="0" w:color="auto"/>
            </w:tcBorders>
            <w:shd w:val="clear" w:color="auto" w:fill="E7E6E6" w:themeFill="background2"/>
            <w:hideMark/>
          </w:tcPr>
          <w:p w14:paraId="0E3C9A2B" w14:textId="77777777" w:rsidR="00D71CE1" w:rsidRPr="00CF5147" w:rsidRDefault="00D71CE1" w:rsidP="003501B6">
            <w:pPr>
              <w:cnfStyle w:val="100000000000" w:firstRow="1" w:lastRow="0" w:firstColumn="0" w:lastColumn="0" w:oddVBand="0" w:evenVBand="0" w:oddHBand="0" w:evenHBand="0" w:firstRowFirstColumn="0" w:firstRowLastColumn="0" w:lastRowFirstColumn="0" w:lastRowLastColumn="0"/>
              <w:rPr>
                <w:sz w:val="18"/>
                <w:szCs w:val="18"/>
              </w:rPr>
            </w:pPr>
            <w:r w:rsidRPr="00CF5147">
              <w:rPr>
                <w:sz w:val="18"/>
                <w:szCs w:val="18"/>
              </w:rPr>
              <w:t>A3</w:t>
            </w:r>
          </w:p>
        </w:tc>
        <w:tc>
          <w:tcPr>
            <w:tcW w:w="5045" w:type="dxa"/>
            <w:gridSpan w:val="4"/>
            <w:tcBorders>
              <w:bottom w:val="none" w:sz="0" w:space="0" w:color="auto"/>
            </w:tcBorders>
            <w:shd w:val="clear" w:color="auto" w:fill="D5DCE4" w:themeFill="text2" w:themeFillTint="33"/>
            <w:hideMark/>
          </w:tcPr>
          <w:p w14:paraId="45F30E55" w14:textId="77777777" w:rsidR="00D71CE1" w:rsidRPr="00CF5147" w:rsidRDefault="00D71CE1" w:rsidP="003501B6">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F5147">
              <w:rPr>
                <w:sz w:val="18"/>
                <w:szCs w:val="18"/>
              </w:rPr>
              <w:t>A4</w:t>
            </w:r>
          </w:p>
          <w:p w14:paraId="18799AE3" w14:textId="555A41BE" w:rsidR="00D71CE1" w:rsidRPr="00CF5147" w:rsidRDefault="00D71CE1" w:rsidP="00CF5147">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F5147">
              <w:rPr>
                <w:sz w:val="18"/>
                <w:szCs w:val="18"/>
              </w:rPr>
              <w:t>Year 1             Year 2                 Year3             Over 3 years</w:t>
            </w:r>
          </w:p>
        </w:tc>
      </w:tr>
      <w:tr w:rsidR="003C00F6" w:rsidRPr="00CF5147" w14:paraId="0903EAB8" w14:textId="77777777" w:rsidTr="003C00F6">
        <w:trPr>
          <w:trHeight w:val="620"/>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vAlign w:val="center"/>
            <w:hideMark/>
          </w:tcPr>
          <w:p w14:paraId="51B28F5D" w14:textId="77777777" w:rsidR="00D71CE1" w:rsidRPr="00CF5147" w:rsidRDefault="00D71CE1" w:rsidP="003C00F6">
            <w:pPr>
              <w:jc w:val="center"/>
              <w:rPr>
                <w:color w:val="000000"/>
                <w:sz w:val="18"/>
                <w:szCs w:val="18"/>
              </w:rPr>
            </w:pPr>
            <w:r w:rsidRPr="00CF5147">
              <w:rPr>
                <w:color w:val="000000"/>
                <w:sz w:val="18"/>
                <w:szCs w:val="18"/>
              </w:rPr>
              <w:t>Occupancy Rate</w:t>
            </w:r>
          </w:p>
        </w:tc>
        <w:tc>
          <w:tcPr>
            <w:tcW w:w="1401" w:type="dxa"/>
            <w:shd w:val="clear" w:color="auto" w:fill="E7E6E6" w:themeFill="background2"/>
            <w:vAlign w:val="center"/>
            <w:hideMark/>
          </w:tcPr>
          <w:p w14:paraId="4A32CAEF"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C00F6">
              <w:rPr>
                <w:b/>
                <w:bCs/>
                <w:color w:val="000000"/>
                <w:sz w:val="18"/>
                <w:szCs w:val="18"/>
              </w:rPr>
              <w:t>100%</w:t>
            </w:r>
          </w:p>
        </w:tc>
        <w:tc>
          <w:tcPr>
            <w:tcW w:w="1260" w:type="dxa"/>
            <w:shd w:val="clear" w:color="auto" w:fill="E7E6E6" w:themeFill="background2"/>
            <w:vAlign w:val="center"/>
            <w:hideMark/>
          </w:tcPr>
          <w:p w14:paraId="19A01F19"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C00F6">
              <w:rPr>
                <w:b/>
                <w:bCs/>
                <w:color w:val="000000"/>
                <w:sz w:val="18"/>
                <w:szCs w:val="18"/>
              </w:rPr>
              <w:t>90%</w:t>
            </w:r>
          </w:p>
        </w:tc>
        <w:tc>
          <w:tcPr>
            <w:tcW w:w="1260" w:type="dxa"/>
            <w:shd w:val="clear" w:color="auto" w:fill="E7E6E6" w:themeFill="background2"/>
            <w:vAlign w:val="center"/>
            <w:hideMark/>
          </w:tcPr>
          <w:p w14:paraId="2ED5C79E"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C00F6">
              <w:rPr>
                <w:b/>
                <w:bCs/>
                <w:color w:val="000000"/>
                <w:sz w:val="18"/>
                <w:szCs w:val="18"/>
              </w:rPr>
              <w:t>85%</w:t>
            </w:r>
          </w:p>
        </w:tc>
        <w:tc>
          <w:tcPr>
            <w:tcW w:w="1401" w:type="dxa"/>
            <w:shd w:val="clear" w:color="auto" w:fill="D5DCE4" w:themeFill="text2" w:themeFillTint="33"/>
            <w:vAlign w:val="center"/>
            <w:hideMark/>
          </w:tcPr>
          <w:p w14:paraId="5A57C174"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C00F6">
              <w:rPr>
                <w:b/>
                <w:bCs/>
                <w:color w:val="000000"/>
                <w:sz w:val="18"/>
                <w:szCs w:val="18"/>
              </w:rPr>
              <w:t>50%</w:t>
            </w:r>
          </w:p>
        </w:tc>
        <w:tc>
          <w:tcPr>
            <w:tcW w:w="1120" w:type="dxa"/>
            <w:shd w:val="clear" w:color="auto" w:fill="D5DCE4" w:themeFill="text2" w:themeFillTint="33"/>
            <w:vAlign w:val="center"/>
            <w:hideMark/>
          </w:tcPr>
          <w:p w14:paraId="73A55CCC"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C00F6">
              <w:rPr>
                <w:b/>
                <w:bCs/>
                <w:color w:val="000000"/>
                <w:sz w:val="18"/>
                <w:szCs w:val="18"/>
              </w:rPr>
              <w:t>85%</w:t>
            </w:r>
          </w:p>
        </w:tc>
        <w:tc>
          <w:tcPr>
            <w:tcW w:w="1260" w:type="dxa"/>
            <w:shd w:val="clear" w:color="auto" w:fill="D5DCE4" w:themeFill="text2" w:themeFillTint="33"/>
            <w:vAlign w:val="center"/>
            <w:hideMark/>
          </w:tcPr>
          <w:p w14:paraId="29E60043"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C00F6">
              <w:rPr>
                <w:b/>
                <w:bCs/>
                <w:color w:val="000000"/>
                <w:sz w:val="18"/>
                <w:szCs w:val="18"/>
              </w:rPr>
              <w:t>85%</w:t>
            </w:r>
          </w:p>
        </w:tc>
        <w:tc>
          <w:tcPr>
            <w:tcW w:w="1262" w:type="dxa"/>
            <w:shd w:val="clear" w:color="auto" w:fill="D5DCE4" w:themeFill="text2" w:themeFillTint="33"/>
            <w:vAlign w:val="center"/>
            <w:hideMark/>
          </w:tcPr>
          <w:p w14:paraId="77A4D172" w14:textId="3E5226D7" w:rsidR="00D71CE1" w:rsidRPr="003C00F6" w:rsidRDefault="003C00F6" w:rsidP="003C00F6">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Surplus / Loss</w:t>
            </w:r>
          </w:p>
        </w:tc>
      </w:tr>
      <w:tr w:rsidR="003C00F6" w:rsidRPr="00CF5147" w14:paraId="565F5F80" w14:textId="77777777" w:rsidTr="003C00F6">
        <w:trPr>
          <w:trHeight w:val="845"/>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76504252" w14:textId="77777777" w:rsidR="00D71CE1" w:rsidRPr="00CF5147" w:rsidRDefault="00D71CE1" w:rsidP="0041018F">
            <w:pPr>
              <w:rPr>
                <w:color w:val="000000"/>
                <w:sz w:val="18"/>
                <w:szCs w:val="18"/>
              </w:rPr>
            </w:pPr>
            <w:r w:rsidRPr="00CF5147">
              <w:rPr>
                <w:color w:val="000000"/>
                <w:sz w:val="18"/>
                <w:szCs w:val="18"/>
              </w:rPr>
              <w:t>Annual Revenue Raised</w:t>
            </w:r>
          </w:p>
        </w:tc>
        <w:tc>
          <w:tcPr>
            <w:tcW w:w="1401" w:type="dxa"/>
            <w:vAlign w:val="center"/>
            <w:hideMark/>
          </w:tcPr>
          <w:p w14:paraId="000D4DD0"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£10,296,000</w:t>
            </w:r>
          </w:p>
        </w:tc>
        <w:tc>
          <w:tcPr>
            <w:tcW w:w="1260" w:type="dxa"/>
            <w:vAlign w:val="center"/>
            <w:hideMark/>
          </w:tcPr>
          <w:p w14:paraId="196EC828"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£9266400</w:t>
            </w:r>
          </w:p>
        </w:tc>
        <w:tc>
          <w:tcPr>
            <w:tcW w:w="1260" w:type="dxa"/>
            <w:vAlign w:val="center"/>
            <w:hideMark/>
          </w:tcPr>
          <w:p w14:paraId="4A0164B9" w14:textId="7FF73D6C" w:rsidR="00D71CE1" w:rsidRPr="00CF5147" w:rsidRDefault="00D71CE1" w:rsidP="003501B6">
            <w:pPr>
              <w:tabs>
                <w:tab w:val="center" w:pos="530"/>
                <w:tab w:val="right" w:pos="1060"/>
              </w:tabs>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£8751600</w:t>
            </w:r>
          </w:p>
        </w:tc>
        <w:tc>
          <w:tcPr>
            <w:tcW w:w="1401" w:type="dxa"/>
            <w:vAlign w:val="center"/>
            <w:hideMark/>
          </w:tcPr>
          <w:p w14:paraId="3281EB90"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£5,148,000</w:t>
            </w:r>
          </w:p>
        </w:tc>
        <w:tc>
          <w:tcPr>
            <w:tcW w:w="1120" w:type="dxa"/>
            <w:vAlign w:val="center"/>
            <w:hideMark/>
          </w:tcPr>
          <w:p w14:paraId="3D36B939"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£8,751,600</w:t>
            </w:r>
          </w:p>
        </w:tc>
        <w:tc>
          <w:tcPr>
            <w:tcW w:w="1260" w:type="dxa"/>
            <w:vAlign w:val="center"/>
            <w:hideMark/>
          </w:tcPr>
          <w:p w14:paraId="776C853D"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£8,751,600</w:t>
            </w:r>
          </w:p>
        </w:tc>
        <w:tc>
          <w:tcPr>
            <w:tcW w:w="1262" w:type="dxa"/>
            <w:shd w:val="clear" w:color="auto" w:fill="D5DCE4" w:themeFill="text2" w:themeFillTint="33"/>
            <w:vAlign w:val="center"/>
            <w:hideMark/>
          </w:tcPr>
          <w:p w14:paraId="19406495" w14:textId="3D11D1EB" w:rsidR="00D71CE1" w:rsidRPr="00CF5147" w:rsidRDefault="003C00F6"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r>
      <w:tr w:rsidR="003C00F6" w:rsidRPr="00CF5147" w14:paraId="6F417772" w14:textId="77777777" w:rsidTr="003C00F6">
        <w:trPr>
          <w:trHeight w:val="843"/>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23DF9442" w14:textId="77777777" w:rsidR="00D71CE1" w:rsidRPr="00CF5147" w:rsidRDefault="00D71CE1" w:rsidP="0041018F">
            <w:pPr>
              <w:rPr>
                <w:color w:val="000000"/>
                <w:sz w:val="18"/>
                <w:szCs w:val="18"/>
              </w:rPr>
            </w:pPr>
            <w:r w:rsidRPr="00CF5147">
              <w:rPr>
                <w:color w:val="000000"/>
                <w:sz w:val="18"/>
                <w:szCs w:val="18"/>
              </w:rPr>
              <w:t xml:space="preserve">Running Cost </w:t>
            </w:r>
          </w:p>
        </w:tc>
        <w:tc>
          <w:tcPr>
            <w:tcW w:w="1401" w:type="dxa"/>
            <w:noWrap/>
            <w:vAlign w:val="center"/>
            <w:hideMark/>
          </w:tcPr>
          <w:p w14:paraId="53476AE3"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£8,595,000</w:t>
            </w:r>
          </w:p>
        </w:tc>
        <w:tc>
          <w:tcPr>
            <w:tcW w:w="1260" w:type="dxa"/>
            <w:noWrap/>
            <w:vAlign w:val="center"/>
            <w:hideMark/>
          </w:tcPr>
          <w:p w14:paraId="75DC682B"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£8,595,000</w:t>
            </w:r>
          </w:p>
        </w:tc>
        <w:tc>
          <w:tcPr>
            <w:tcW w:w="1260" w:type="dxa"/>
            <w:noWrap/>
            <w:vAlign w:val="center"/>
            <w:hideMark/>
          </w:tcPr>
          <w:p w14:paraId="2395346E"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£8,595,000</w:t>
            </w:r>
          </w:p>
        </w:tc>
        <w:tc>
          <w:tcPr>
            <w:tcW w:w="1401" w:type="dxa"/>
            <w:vAlign w:val="center"/>
            <w:hideMark/>
          </w:tcPr>
          <w:p w14:paraId="2E092EB6"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£8,683,000</w:t>
            </w:r>
          </w:p>
        </w:tc>
        <w:tc>
          <w:tcPr>
            <w:tcW w:w="1120" w:type="dxa"/>
            <w:noWrap/>
            <w:vAlign w:val="center"/>
            <w:hideMark/>
          </w:tcPr>
          <w:p w14:paraId="3151D249"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£8,595,000</w:t>
            </w:r>
          </w:p>
        </w:tc>
        <w:tc>
          <w:tcPr>
            <w:tcW w:w="1260" w:type="dxa"/>
            <w:noWrap/>
            <w:vAlign w:val="center"/>
            <w:hideMark/>
          </w:tcPr>
          <w:p w14:paraId="2AFD1004"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£8,595,000</w:t>
            </w:r>
          </w:p>
        </w:tc>
        <w:tc>
          <w:tcPr>
            <w:tcW w:w="1262" w:type="dxa"/>
            <w:shd w:val="clear" w:color="auto" w:fill="D5DCE4" w:themeFill="text2" w:themeFillTint="33"/>
            <w:vAlign w:val="center"/>
            <w:hideMark/>
          </w:tcPr>
          <w:p w14:paraId="495C2698" w14:textId="4B97EA40" w:rsidR="00D71CE1" w:rsidRPr="00CF5147" w:rsidRDefault="003C00F6"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r>
      <w:tr w:rsidR="003C00F6" w:rsidRPr="00CF5147" w14:paraId="09304619" w14:textId="77777777" w:rsidTr="003C00F6">
        <w:trPr>
          <w:trHeight w:val="811"/>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3D9055A3" w14:textId="77777777" w:rsidR="00D71CE1" w:rsidRPr="00CF5147" w:rsidRDefault="00D71CE1" w:rsidP="0041018F">
            <w:pPr>
              <w:rPr>
                <w:color w:val="000000"/>
                <w:sz w:val="18"/>
                <w:szCs w:val="18"/>
              </w:rPr>
            </w:pPr>
            <w:r w:rsidRPr="00CF5147">
              <w:rPr>
                <w:color w:val="000000"/>
                <w:sz w:val="18"/>
                <w:szCs w:val="18"/>
              </w:rPr>
              <w:t>Surplus/Loss</w:t>
            </w:r>
          </w:p>
        </w:tc>
        <w:tc>
          <w:tcPr>
            <w:tcW w:w="1401" w:type="dxa"/>
            <w:vAlign w:val="center"/>
            <w:hideMark/>
          </w:tcPr>
          <w:p w14:paraId="6532268E"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£1,701,000</w:t>
            </w:r>
          </w:p>
        </w:tc>
        <w:tc>
          <w:tcPr>
            <w:tcW w:w="1260" w:type="dxa"/>
            <w:vAlign w:val="center"/>
            <w:hideMark/>
          </w:tcPr>
          <w:p w14:paraId="4FFDF558"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£671,400</w:t>
            </w:r>
          </w:p>
        </w:tc>
        <w:tc>
          <w:tcPr>
            <w:tcW w:w="1260" w:type="dxa"/>
            <w:vAlign w:val="center"/>
            <w:hideMark/>
          </w:tcPr>
          <w:p w14:paraId="5CBA100D"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£156,600</w:t>
            </w:r>
          </w:p>
        </w:tc>
        <w:tc>
          <w:tcPr>
            <w:tcW w:w="1401" w:type="dxa"/>
            <w:vAlign w:val="center"/>
            <w:hideMark/>
          </w:tcPr>
          <w:p w14:paraId="6906AFD1"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-£3,535,000</w:t>
            </w:r>
          </w:p>
        </w:tc>
        <w:tc>
          <w:tcPr>
            <w:tcW w:w="1120" w:type="dxa"/>
            <w:vAlign w:val="center"/>
            <w:hideMark/>
          </w:tcPr>
          <w:p w14:paraId="4093D0BF"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£156,600</w:t>
            </w:r>
          </w:p>
        </w:tc>
        <w:tc>
          <w:tcPr>
            <w:tcW w:w="1260" w:type="dxa"/>
            <w:vAlign w:val="center"/>
            <w:hideMark/>
          </w:tcPr>
          <w:p w14:paraId="01BC17D7"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£156,600</w:t>
            </w:r>
          </w:p>
        </w:tc>
        <w:tc>
          <w:tcPr>
            <w:tcW w:w="1262" w:type="dxa"/>
            <w:shd w:val="clear" w:color="auto" w:fill="D5DCE4" w:themeFill="text2" w:themeFillTint="33"/>
            <w:vAlign w:val="center"/>
            <w:hideMark/>
          </w:tcPr>
          <w:p w14:paraId="27EB4E87"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-£1,073,930</w:t>
            </w:r>
          </w:p>
        </w:tc>
      </w:tr>
      <w:tr w:rsidR="003C00F6" w:rsidRPr="00CF5147" w14:paraId="74E5F2E6" w14:textId="77777777" w:rsidTr="003C00F6">
        <w:trPr>
          <w:trHeight w:val="511"/>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1BFDE847" w14:textId="77777777" w:rsidR="00D71CE1" w:rsidRPr="00CF5147" w:rsidRDefault="00D71CE1" w:rsidP="0041018F">
            <w:pPr>
              <w:rPr>
                <w:color w:val="000000"/>
                <w:sz w:val="18"/>
                <w:szCs w:val="18"/>
              </w:rPr>
            </w:pPr>
            <w:r w:rsidRPr="00CF5147">
              <w:rPr>
                <w:color w:val="000000"/>
                <w:sz w:val="18"/>
                <w:szCs w:val="18"/>
              </w:rPr>
              <w:t>Surplus/Loss per LA with 33 members</w:t>
            </w:r>
          </w:p>
        </w:tc>
        <w:tc>
          <w:tcPr>
            <w:tcW w:w="1401" w:type="dxa"/>
            <w:vAlign w:val="center"/>
            <w:hideMark/>
          </w:tcPr>
          <w:p w14:paraId="76C4B24C"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£51,550</w:t>
            </w:r>
          </w:p>
        </w:tc>
        <w:tc>
          <w:tcPr>
            <w:tcW w:w="1260" w:type="dxa"/>
            <w:vAlign w:val="center"/>
            <w:hideMark/>
          </w:tcPr>
          <w:p w14:paraId="72F90AE3"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£20350</w:t>
            </w:r>
          </w:p>
        </w:tc>
        <w:tc>
          <w:tcPr>
            <w:tcW w:w="1260" w:type="dxa"/>
            <w:vAlign w:val="center"/>
            <w:hideMark/>
          </w:tcPr>
          <w:p w14:paraId="57239B47"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£4,750</w:t>
            </w:r>
          </w:p>
        </w:tc>
        <w:tc>
          <w:tcPr>
            <w:tcW w:w="1401" w:type="dxa"/>
            <w:vAlign w:val="center"/>
            <w:hideMark/>
          </w:tcPr>
          <w:p w14:paraId="0C08D387"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-£107,120</w:t>
            </w:r>
          </w:p>
        </w:tc>
        <w:tc>
          <w:tcPr>
            <w:tcW w:w="1120" w:type="dxa"/>
            <w:vAlign w:val="center"/>
            <w:hideMark/>
          </w:tcPr>
          <w:p w14:paraId="49A7A8A0"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£4,750</w:t>
            </w:r>
          </w:p>
        </w:tc>
        <w:tc>
          <w:tcPr>
            <w:tcW w:w="1260" w:type="dxa"/>
            <w:vAlign w:val="center"/>
            <w:hideMark/>
          </w:tcPr>
          <w:p w14:paraId="3FFCE003"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£4,750</w:t>
            </w:r>
          </w:p>
        </w:tc>
        <w:tc>
          <w:tcPr>
            <w:tcW w:w="1262" w:type="dxa"/>
            <w:shd w:val="clear" w:color="auto" w:fill="D5DCE4" w:themeFill="text2" w:themeFillTint="33"/>
            <w:vAlign w:val="center"/>
            <w:hideMark/>
          </w:tcPr>
          <w:p w14:paraId="632A9D6B" w14:textId="4AFC446E"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-£32,540</w:t>
            </w:r>
          </w:p>
        </w:tc>
      </w:tr>
      <w:tr w:rsidR="003C00F6" w:rsidRPr="00CF5147" w14:paraId="7FB9E6AB" w14:textId="77777777" w:rsidTr="003C00F6">
        <w:trPr>
          <w:trHeight w:val="547"/>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34A46A60" w14:textId="77777777" w:rsidR="00D71CE1" w:rsidRPr="00CF5147" w:rsidRDefault="00D71CE1" w:rsidP="0041018F">
            <w:pPr>
              <w:rPr>
                <w:color w:val="000000"/>
                <w:sz w:val="18"/>
                <w:szCs w:val="18"/>
              </w:rPr>
            </w:pPr>
            <w:r w:rsidRPr="00CF5147">
              <w:rPr>
                <w:color w:val="000000"/>
                <w:sz w:val="18"/>
                <w:szCs w:val="18"/>
              </w:rPr>
              <w:t>Surplus/Loss per LA with 25 members</w:t>
            </w:r>
          </w:p>
        </w:tc>
        <w:tc>
          <w:tcPr>
            <w:tcW w:w="1401" w:type="dxa"/>
            <w:vAlign w:val="center"/>
            <w:hideMark/>
          </w:tcPr>
          <w:p w14:paraId="2291B26E"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£68,040</w:t>
            </w:r>
          </w:p>
        </w:tc>
        <w:tc>
          <w:tcPr>
            <w:tcW w:w="1260" w:type="dxa"/>
            <w:vAlign w:val="center"/>
            <w:hideMark/>
          </w:tcPr>
          <w:p w14:paraId="4A76D95D"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£26856</w:t>
            </w:r>
          </w:p>
        </w:tc>
        <w:tc>
          <w:tcPr>
            <w:tcW w:w="1260" w:type="dxa"/>
            <w:vAlign w:val="center"/>
            <w:hideMark/>
          </w:tcPr>
          <w:p w14:paraId="4C7D8F7D"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£6,264</w:t>
            </w:r>
          </w:p>
        </w:tc>
        <w:tc>
          <w:tcPr>
            <w:tcW w:w="1401" w:type="dxa"/>
            <w:vAlign w:val="center"/>
            <w:hideMark/>
          </w:tcPr>
          <w:p w14:paraId="07F68BED"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-£141,400</w:t>
            </w:r>
          </w:p>
        </w:tc>
        <w:tc>
          <w:tcPr>
            <w:tcW w:w="1120" w:type="dxa"/>
            <w:vAlign w:val="center"/>
            <w:hideMark/>
          </w:tcPr>
          <w:p w14:paraId="1862AA96"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£6,264</w:t>
            </w:r>
          </w:p>
        </w:tc>
        <w:tc>
          <w:tcPr>
            <w:tcW w:w="1260" w:type="dxa"/>
            <w:vAlign w:val="center"/>
            <w:hideMark/>
          </w:tcPr>
          <w:p w14:paraId="1C370BC5"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£6,264</w:t>
            </w:r>
          </w:p>
        </w:tc>
        <w:tc>
          <w:tcPr>
            <w:tcW w:w="1262" w:type="dxa"/>
            <w:shd w:val="clear" w:color="auto" w:fill="D5DCE4" w:themeFill="text2" w:themeFillTint="33"/>
            <w:vAlign w:val="center"/>
            <w:hideMark/>
          </w:tcPr>
          <w:p w14:paraId="06CB3ECA"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-£42,960</w:t>
            </w:r>
          </w:p>
          <w:p w14:paraId="3E348407"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3C00F6" w:rsidRPr="00CF5147" w14:paraId="2FF7B3A3" w14:textId="77777777" w:rsidTr="003C00F6">
        <w:trPr>
          <w:trHeight w:val="428"/>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19D31E11" w14:textId="77777777" w:rsidR="00D71CE1" w:rsidRPr="00CF5147" w:rsidRDefault="00D71CE1" w:rsidP="0041018F">
            <w:pPr>
              <w:rPr>
                <w:color w:val="000000"/>
                <w:sz w:val="18"/>
                <w:szCs w:val="18"/>
              </w:rPr>
            </w:pPr>
            <w:r w:rsidRPr="00CF5147">
              <w:rPr>
                <w:color w:val="000000"/>
                <w:sz w:val="18"/>
                <w:szCs w:val="18"/>
              </w:rPr>
              <w:t>Surplus/Loss per LA with 16 members</w:t>
            </w:r>
          </w:p>
        </w:tc>
        <w:tc>
          <w:tcPr>
            <w:tcW w:w="1401" w:type="dxa"/>
            <w:vAlign w:val="center"/>
            <w:hideMark/>
          </w:tcPr>
          <w:p w14:paraId="53353409"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£106,310</w:t>
            </w:r>
          </w:p>
        </w:tc>
        <w:tc>
          <w:tcPr>
            <w:tcW w:w="1260" w:type="dxa"/>
            <w:vAlign w:val="center"/>
            <w:hideMark/>
          </w:tcPr>
          <w:p w14:paraId="3B1A3083"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£41960</w:t>
            </w:r>
          </w:p>
        </w:tc>
        <w:tc>
          <w:tcPr>
            <w:tcW w:w="1260" w:type="dxa"/>
            <w:vAlign w:val="center"/>
            <w:hideMark/>
          </w:tcPr>
          <w:p w14:paraId="76C3D300"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£9,790</w:t>
            </w:r>
          </w:p>
        </w:tc>
        <w:tc>
          <w:tcPr>
            <w:tcW w:w="1401" w:type="dxa"/>
            <w:vAlign w:val="center"/>
            <w:hideMark/>
          </w:tcPr>
          <w:p w14:paraId="518296CB"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-£220,940</w:t>
            </w:r>
          </w:p>
        </w:tc>
        <w:tc>
          <w:tcPr>
            <w:tcW w:w="1120" w:type="dxa"/>
            <w:vAlign w:val="center"/>
            <w:hideMark/>
          </w:tcPr>
          <w:p w14:paraId="19DFC3E3"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£9,790</w:t>
            </w:r>
          </w:p>
        </w:tc>
        <w:tc>
          <w:tcPr>
            <w:tcW w:w="1260" w:type="dxa"/>
            <w:vAlign w:val="center"/>
            <w:hideMark/>
          </w:tcPr>
          <w:p w14:paraId="386AA2A6"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£9,790</w:t>
            </w:r>
          </w:p>
        </w:tc>
        <w:tc>
          <w:tcPr>
            <w:tcW w:w="1262" w:type="dxa"/>
            <w:shd w:val="clear" w:color="auto" w:fill="D5DCE4" w:themeFill="text2" w:themeFillTint="33"/>
            <w:vAlign w:val="center"/>
            <w:hideMark/>
          </w:tcPr>
          <w:p w14:paraId="6DEE8335"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-£67,120</w:t>
            </w:r>
          </w:p>
          <w:p w14:paraId="722C7E57"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3C00F6" w:rsidRPr="00CF5147" w14:paraId="0B2F47CC" w14:textId="77777777" w:rsidTr="003C00F6">
        <w:trPr>
          <w:trHeight w:val="492"/>
        </w:trPr>
        <w:tc>
          <w:tcPr>
            <w:cnfStyle w:val="001000000000" w:firstRow="0" w:lastRow="0" w:firstColumn="1" w:lastColumn="0" w:oddVBand="0" w:evenVBand="0" w:oddHBand="0" w:evenHBand="0" w:firstRowFirstColumn="0" w:firstRowLastColumn="0" w:lastRowFirstColumn="0" w:lastRowLastColumn="0"/>
            <w:tcW w:w="1822" w:type="dxa"/>
            <w:shd w:val="clear" w:color="auto" w:fill="E7E6E6" w:themeFill="background2"/>
            <w:hideMark/>
          </w:tcPr>
          <w:p w14:paraId="4CB33A92" w14:textId="77777777" w:rsidR="00D71CE1" w:rsidRPr="00CF5147" w:rsidRDefault="00D71CE1" w:rsidP="0041018F">
            <w:pPr>
              <w:rPr>
                <w:color w:val="000000"/>
                <w:sz w:val="18"/>
                <w:szCs w:val="18"/>
              </w:rPr>
            </w:pPr>
            <w:r w:rsidRPr="00CF5147">
              <w:rPr>
                <w:color w:val="000000"/>
                <w:sz w:val="18"/>
                <w:szCs w:val="18"/>
              </w:rPr>
              <w:t>Surplus/Loss per LA with 8 members</w:t>
            </w:r>
          </w:p>
        </w:tc>
        <w:tc>
          <w:tcPr>
            <w:tcW w:w="1401" w:type="dxa"/>
            <w:vAlign w:val="center"/>
            <w:hideMark/>
          </w:tcPr>
          <w:p w14:paraId="12DAE263"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£212,625</w:t>
            </w:r>
          </w:p>
        </w:tc>
        <w:tc>
          <w:tcPr>
            <w:tcW w:w="1260" w:type="dxa"/>
            <w:vAlign w:val="center"/>
            <w:hideMark/>
          </w:tcPr>
          <w:p w14:paraId="722BA04A"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£83925</w:t>
            </w:r>
          </w:p>
        </w:tc>
        <w:tc>
          <w:tcPr>
            <w:tcW w:w="1260" w:type="dxa"/>
            <w:vAlign w:val="center"/>
            <w:hideMark/>
          </w:tcPr>
          <w:p w14:paraId="0EB13D28"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£19,575</w:t>
            </w:r>
          </w:p>
        </w:tc>
        <w:tc>
          <w:tcPr>
            <w:tcW w:w="1401" w:type="dxa"/>
            <w:vAlign w:val="center"/>
            <w:hideMark/>
          </w:tcPr>
          <w:p w14:paraId="4083EE30"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-£441,875</w:t>
            </w:r>
          </w:p>
        </w:tc>
        <w:tc>
          <w:tcPr>
            <w:tcW w:w="1120" w:type="dxa"/>
            <w:vAlign w:val="center"/>
            <w:hideMark/>
          </w:tcPr>
          <w:p w14:paraId="20558C4B"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£19,575</w:t>
            </w:r>
          </w:p>
        </w:tc>
        <w:tc>
          <w:tcPr>
            <w:tcW w:w="1260" w:type="dxa"/>
            <w:vAlign w:val="center"/>
            <w:hideMark/>
          </w:tcPr>
          <w:p w14:paraId="0CF3DF75"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£19,575</w:t>
            </w:r>
          </w:p>
        </w:tc>
        <w:tc>
          <w:tcPr>
            <w:tcW w:w="1262" w:type="dxa"/>
            <w:shd w:val="clear" w:color="auto" w:fill="D5DCE4" w:themeFill="text2" w:themeFillTint="33"/>
            <w:vAlign w:val="center"/>
            <w:hideMark/>
          </w:tcPr>
          <w:p w14:paraId="02D0468D" w14:textId="77777777" w:rsidR="00D71CE1" w:rsidRPr="00CF5147" w:rsidRDefault="00D71CE1" w:rsidP="003501B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-£134,240</w:t>
            </w:r>
          </w:p>
        </w:tc>
      </w:tr>
    </w:tbl>
    <w:p w14:paraId="3160C08C" w14:textId="0B52901E" w:rsidR="00236F07" w:rsidRDefault="00236F07" w:rsidP="00D71CE1">
      <w:pPr>
        <w:spacing w:before="100" w:beforeAutospacing="1" w:after="100" w:afterAutospacing="1"/>
        <w:rPr>
          <w:b/>
          <w:bCs/>
          <w:color w:val="000000"/>
          <w:sz w:val="24"/>
          <w:szCs w:val="24"/>
          <w:u w:val="single"/>
        </w:rPr>
      </w:pPr>
    </w:p>
    <w:p w14:paraId="796F85BE" w14:textId="466AC8BA" w:rsidR="00A02F76" w:rsidRDefault="00A02F76" w:rsidP="00D71CE1">
      <w:pPr>
        <w:spacing w:before="100" w:beforeAutospacing="1" w:after="100" w:afterAutospacing="1"/>
        <w:rPr>
          <w:b/>
          <w:bCs/>
          <w:color w:val="000000"/>
          <w:sz w:val="24"/>
          <w:szCs w:val="24"/>
          <w:u w:val="single"/>
        </w:rPr>
      </w:pPr>
    </w:p>
    <w:p w14:paraId="09A36768" w14:textId="5CC2C078" w:rsidR="00A02F76" w:rsidRDefault="00A02F76" w:rsidP="00D71CE1">
      <w:pPr>
        <w:spacing w:before="100" w:beforeAutospacing="1" w:after="100" w:afterAutospacing="1"/>
        <w:rPr>
          <w:b/>
          <w:bCs/>
          <w:color w:val="000000"/>
          <w:sz w:val="24"/>
          <w:szCs w:val="24"/>
          <w:u w:val="single"/>
        </w:rPr>
      </w:pPr>
    </w:p>
    <w:p w14:paraId="365EA492" w14:textId="67DC3ADF" w:rsidR="00A02F76" w:rsidRDefault="00A02F76" w:rsidP="00D71CE1">
      <w:pPr>
        <w:spacing w:before="100" w:beforeAutospacing="1" w:after="100" w:afterAutospacing="1"/>
        <w:rPr>
          <w:b/>
          <w:bCs/>
          <w:color w:val="000000"/>
          <w:sz w:val="24"/>
          <w:szCs w:val="24"/>
          <w:u w:val="single"/>
        </w:rPr>
      </w:pPr>
    </w:p>
    <w:p w14:paraId="06CB61F2" w14:textId="437927BA" w:rsidR="00A02F76" w:rsidRDefault="00A02F76" w:rsidP="00D71CE1">
      <w:pPr>
        <w:spacing w:before="100" w:beforeAutospacing="1" w:after="100" w:afterAutospacing="1"/>
        <w:rPr>
          <w:b/>
          <w:bCs/>
          <w:color w:val="000000"/>
          <w:sz w:val="24"/>
          <w:szCs w:val="24"/>
          <w:u w:val="single"/>
        </w:rPr>
      </w:pPr>
    </w:p>
    <w:p w14:paraId="19F5E7DC" w14:textId="77777777" w:rsidR="00A02F76" w:rsidRDefault="00A02F76" w:rsidP="00D71CE1">
      <w:pPr>
        <w:spacing w:before="100" w:beforeAutospacing="1" w:after="100" w:afterAutospacing="1"/>
        <w:rPr>
          <w:b/>
          <w:bCs/>
          <w:color w:val="000000"/>
          <w:sz w:val="24"/>
          <w:szCs w:val="24"/>
          <w:u w:val="single"/>
        </w:rPr>
      </w:pPr>
    </w:p>
    <w:p w14:paraId="3B75CB35" w14:textId="54F83065" w:rsidR="00D71CE1" w:rsidRPr="00876D9D" w:rsidRDefault="00D71CE1" w:rsidP="00D71CE1">
      <w:pPr>
        <w:spacing w:before="100" w:beforeAutospacing="1" w:after="100" w:afterAutospacing="1"/>
        <w:rPr>
          <w:b/>
          <w:bCs/>
          <w:color w:val="000000"/>
          <w:sz w:val="24"/>
          <w:szCs w:val="24"/>
          <w:u w:val="single"/>
        </w:rPr>
      </w:pPr>
      <w:r w:rsidRPr="00876D9D">
        <w:rPr>
          <w:b/>
          <w:bCs/>
          <w:color w:val="000000"/>
          <w:sz w:val="24"/>
          <w:szCs w:val="24"/>
          <w:u w:val="single"/>
        </w:rPr>
        <w:lastRenderedPageBreak/>
        <w:t>2.2: Scenario B</w:t>
      </w:r>
    </w:p>
    <w:p w14:paraId="3101881C" w14:textId="3EB3DE23" w:rsidR="00D71CE1" w:rsidRDefault="00D71CE1" w:rsidP="00D71CE1">
      <w:pPr>
        <w:spacing w:before="100" w:beforeAutospacing="1" w:after="100" w:afterAutospacing="1"/>
        <w:rPr>
          <w:color w:val="000000"/>
          <w:sz w:val="24"/>
          <w:szCs w:val="24"/>
        </w:rPr>
      </w:pPr>
      <w:r>
        <w:rPr>
          <w:color w:val="000000"/>
          <w:sz w:val="24"/>
          <w:szCs w:val="24"/>
        </w:rPr>
        <w:t>In this scenario, the weekly placement cost is £10,000 across all years (no inflation factored in).</w:t>
      </w:r>
      <w:r w:rsidR="00236F07" w:rsidRPr="00236F07">
        <w:rPr>
          <w:i/>
          <w:iCs/>
          <w:color w:val="000000"/>
          <w:sz w:val="24"/>
          <w:szCs w:val="24"/>
        </w:rPr>
        <w:t xml:space="preserve"> Please note, placements</w:t>
      </w:r>
      <w:r w:rsidR="00236F07">
        <w:rPr>
          <w:i/>
          <w:iCs/>
          <w:color w:val="000000"/>
          <w:sz w:val="24"/>
          <w:szCs w:val="24"/>
        </w:rPr>
        <w:t xml:space="preserve"> that could be</w:t>
      </w:r>
      <w:r w:rsidR="00236F07" w:rsidRPr="00236F07">
        <w:rPr>
          <w:i/>
          <w:iCs/>
          <w:color w:val="000000"/>
          <w:sz w:val="24"/>
          <w:szCs w:val="24"/>
        </w:rPr>
        <w:t xml:space="preserve"> made by other LAs, </w:t>
      </w:r>
      <w:r w:rsidR="00236F07">
        <w:rPr>
          <w:i/>
          <w:iCs/>
          <w:color w:val="000000"/>
          <w:sz w:val="24"/>
          <w:szCs w:val="24"/>
        </w:rPr>
        <w:t xml:space="preserve">charged </w:t>
      </w:r>
      <w:r w:rsidR="00236F07" w:rsidRPr="00236F07">
        <w:rPr>
          <w:i/>
          <w:iCs/>
          <w:color w:val="000000"/>
          <w:sz w:val="24"/>
          <w:szCs w:val="24"/>
        </w:rPr>
        <w:t>at a higher cost, have not been factored in.</w:t>
      </w:r>
    </w:p>
    <w:tbl>
      <w:tblPr>
        <w:tblStyle w:val="GridTable1Light-Accent6"/>
        <w:tblW w:w="109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404"/>
        <w:gridCol w:w="1263"/>
        <w:gridCol w:w="1322"/>
        <w:gridCol w:w="1204"/>
        <w:gridCol w:w="1263"/>
        <w:gridCol w:w="1263"/>
        <w:gridCol w:w="1264"/>
      </w:tblGrid>
      <w:tr w:rsidR="00D71CE1" w:rsidRPr="00CF5147" w14:paraId="7518E2FD" w14:textId="77777777" w:rsidTr="003C00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65" w:type="dxa"/>
            <w:tcBorders>
              <w:bottom w:val="none" w:sz="0" w:space="0" w:color="auto"/>
            </w:tcBorders>
            <w:shd w:val="clear" w:color="auto" w:fill="E7E6E6" w:themeFill="background2"/>
            <w:hideMark/>
          </w:tcPr>
          <w:p w14:paraId="22CF5FDB" w14:textId="77777777" w:rsidR="00D71CE1" w:rsidRPr="00CF5147" w:rsidRDefault="00D71CE1" w:rsidP="0041018F">
            <w:pPr>
              <w:rPr>
                <w:sz w:val="18"/>
                <w:szCs w:val="18"/>
              </w:rPr>
            </w:pPr>
            <w:r w:rsidRPr="00CF5147">
              <w:rPr>
                <w:sz w:val="18"/>
                <w:szCs w:val="18"/>
              </w:rPr>
              <w:t>Scenario B</w:t>
            </w:r>
          </w:p>
        </w:tc>
        <w:tc>
          <w:tcPr>
            <w:tcW w:w="1404" w:type="dxa"/>
            <w:tcBorders>
              <w:bottom w:val="none" w:sz="0" w:space="0" w:color="auto"/>
            </w:tcBorders>
            <w:shd w:val="clear" w:color="auto" w:fill="E7E6E6" w:themeFill="background2"/>
            <w:hideMark/>
          </w:tcPr>
          <w:p w14:paraId="089D2B8E" w14:textId="77777777" w:rsidR="00D71CE1" w:rsidRPr="003C00F6" w:rsidRDefault="00D71CE1" w:rsidP="003501B6">
            <w:pPr>
              <w:jc w:val="center"/>
              <w:cnfStyle w:val="100000000000" w:firstRow="1" w:lastRow="0" w:firstColumn="0" w:lastColumn="0" w:oddVBand="0" w:evenVBand="0" w:oddHBand="0" w:evenHBand="0" w:firstRowFirstColumn="0" w:firstRowLastColumn="0" w:lastRowFirstColumn="0" w:lastRowLastColumn="0"/>
              <w:rPr>
                <w:sz w:val="18"/>
                <w:szCs w:val="18"/>
              </w:rPr>
            </w:pPr>
            <w:r w:rsidRPr="003C00F6">
              <w:rPr>
                <w:sz w:val="18"/>
                <w:szCs w:val="18"/>
              </w:rPr>
              <w:t>B1</w:t>
            </w:r>
          </w:p>
        </w:tc>
        <w:tc>
          <w:tcPr>
            <w:tcW w:w="1263" w:type="dxa"/>
            <w:tcBorders>
              <w:bottom w:val="none" w:sz="0" w:space="0" w:color="auto"/>
            </w:tcBorders>
            <w:shd w:val="clear" w:color="auto" w:fill="E7E6E6" w:themeFill="background2"/>
            <w:hideMark/>
          </w:tcPr>
          <w:p w14:paraId="109C95A5" w14:textId="77777777" w:rsidR="00D71CE1" w:rsidRPr="003C00F6" w:rsidRDefault="00D71CE1" w:rsidP="003501B6">
            <w:pPr>
              <w:jc w:val="center"/>
              <w:cnfStyle w:val="100000000000" w:firstRow="1" w:lastRow="0" w:firstColumn="0" w:lastColumn="0" w:oddVBand="0" w:evenVBand="0" w:oddHBand="0" w:evenHBand="0" w:firstRowFirstColumn="0" w:firstRowLastColumn="0" w:lastRowFirstColumn="0" w:lastRowLastColumn="0"/>
              <w:rPr>
                <w:sz w:val="18"/>
                <w:szCs w:val="18"/>
              </w:rPr>
            </w:pPr>
            <w:r w:rsidRPr="003C00F6">
              <w:rPr>
                <w:sz w:val="18"/>
                <w:szCs w:val="18"/>
              </w:rPr>
              <w:t>B2</w:t>
            </w:r>
          </w:p>
        </w:tc>
        <w:tc>
          <w:tcPr>
            <w:tcW w:w="1322" w:type="dxa"/>
            <w:tcBorders>
              <w:bottom w:val="none" w:sz="0" w:space="0" w:color="auto"/>
            </w:tcBorders>
            <w:shd w:val="clear" w:color="auto" w:fill="E7E6E6" w:themeFill="background2"/>
            <w:hideMark/>
          </w:tcPr>
          <w:p w14:paraId="6225911D" w14:textId="77777777" w:rsidR="00D71CE1" w:rsidRPr="003C00F6" w:rsidRDefault="00D71CE1" w:rsidP="003501B6">
            <w:pPr>
              <w:jc w:val="center"/>
              <w:cnfStyle w:val="100000000000" w:firstRow="1" w:lastRow="0" w:firstColumn="0" w:lastColumn="0" w:oddVBand="0" w:evenVBand="0" w:oddHBand="0" w:evenHBand="0" w:firstRowFirstColumn="0" w:firstRowLastColumn="0" w:lastRowFirstColumn="0" w:lastRowLastColumn="0"/>
              <w:rPr>
                <w:sz w:val="18"/>
                <w:szCs w:val="18"/>
              </w:rPr>
            </w:pPr>
            <w:r w:rsidRPr="003C00F6">
              <w:rPr>
                <w:sz w:val="18"/>
                <w:szCs w:val="18"/>
              </w:rPr>
              <w:t>B3</w:t>
            </w:r>
          </w:p>
        </w:tc>
        <w:tc>
          <w:tcPr>
            <w:tcW w:w="4994" w:type="dxa"/>
            <w:gridSpan w:val="4"/>
            <w:tcBorders>
              <w:bottom w:val="none" w:sz="0" w:space="0" w:color="auto"/>
            </w:tcBorders>
            <w:shd w:val="clear" w:color="auto" w:fill="D5DCE4" w:themeFill="text2" w:themeFillTint="33"/>
            <w:hideMark/>
          </w:tcPr>
          <w:p w14:paraId="563CEBE3" w14:textId="77777777" w:rsidR="00D71CE1" w:rsidRPr="003C00F6" w:rsidRDefault="00D71CE1" w:rsidP="003501B6">
            <w:pPr>
              <w:jc w:val="center"/>
              <w:cnfStyle w:val="100000000000" w:firstRow="1" w:lastRow="0" w:firstColumn="0" w:lastColumn="0" w:oddVBand="0" w:evenVBand="0" w:oddHBand="0" w:evenHBand="0" w:firstRowFirstColumn="0" w:firstRowLastColumn="0" w:lastRowFirstColumn="0" w:lastRowLastColumn="0"/>
              <w:rPr>
                <w:sz w:val="18"/>
                <w:szCs w:val="18"/>
              </w:rPr>
            </w:pPr>
            <w:r w:rsidRPr="003C00F6">
              <w:rPr>
                <w:sz w:val="18"/>
                <w:szCs w:val="18"/>
              </w:rPr>
              <w:t>B4</w:t>
            </w:r>
          </w:p>
          <w:p w14:paraId="7A3241F2" w14:textId="34535D1C" w:rsidR="00D71CE1" w:rsidRPr="003C00F6" w:rsidRDefault="00D71CE1" w:rsidP="00CF5147">
            <w:pPr>
              <w:jc w:val="center"/>
              <w:cnfStyle w:val="100000000000" w:firstRow="1" w:lastRow="0" w:firstColumn="0" w:lastColumn="0" w:oddVBand="0" w:evenVBand="0" w:oddHBand="0" w:evenHBand="0" w:firstRowFirstColumn="0" w:firstRowLastColumn="0" w:lastRowFirstColumn="0" w:lastRowLastColumn="0"/>
              <w:rPr>
                <w:sz w:val="18"/>
                <w:szCs w:val="18"/>
              </w:rPr>
            </w:pPr>
            <w:r w:rsidRPr="003C00F6">
              <w:rPr>
                <w:sz w:val="18"/>
                <w:szCs w:val="18"/>
              </w:rPr>
              <w:t xml:space="preserve">Year 1            Year 2               Year3              </w:t>
            </w:r>
            <w:r w:rsidR="00CF5147" w:rsidRPr="003C00F6">
              <w:rPr>
                <w:sz w:val="18"/>
                <w:szCs w:val="18"/>
              </w:rPr>
              <w:t>Over</w:t>
            </w:r>
            <w:r w:rsidRPr="003C00F6">
              <w:rPr>
                <w:sz w:val="18"/>
                <w:szCs w:val="18"/>
              </w:rPr>
              <w:t xml:space="preserve"> 3 years</w:t>
            </w:r>
          </w:p>
        </w:tc>
      </w:tr>
      <w:tr w:rsidR="00D71CE1" w:rsidRPr="00CF5147" w14:paraId="2E0B3AF2" w14:textId="77777777" w:rsidTr="003C00F6">
        <w:trPr>
          <w:trHeight w:val="562"/>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56C8EA56" w14:textId="77777777" w:rsidR="00D71CE1" w:rsidRPr="00CF5147" w:rsidRDefault="00D71CE1" w:rsidP="0041018F">
            <w:pPr>
              <w:rPr>
                <w:sz w:val="18"/>
                <w:szCs w:val="18"/>
              </w:rPr>
            </w:pPr>
            <w:r w:rsidRPr="00CF5147">
              <w:rPr>
                <w:sz w:val="18"/>
                <w:szCs w:val="18"/>
              </w:rPr>
              <w:t>Occupancy Rate</w:t>
            </w:r>
          </w:p>
        </w:tc>
        <w:tc>
          <w:tcPr>
            <w:tcW w:w="1404" w:type="dxa"/>
            <w:shd w:val="clear" w:color="auto" w:fill="E7E6E6" w:themeFill="background2"/>
            <w:vAlign w:val="center"/>
            <w:hideMark/>
          </w:tcPr>
          <w:p w14:paraId="74D2CAC4"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100%</w:t>
            </w:r>
          </w:p>
        </w:tc>
        <w:tc>
          <w:tcPr>
            <w:tcW w:w="1263" w:type="dxa"/>
            <w:shd w:val="clear" w:color="auto" w:fill="E7E6E6" w:themeFill="background2"/>
            <w:vAlign w:val="center"/>
            <w:hideMark/>
          </w:tcPr>
          <w:p w14:paraId="55B9C620"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90%</w:t>
            </w:r>
          </w:p>
        </w:tc>
        <w:tc>
          <w:tcPr>
            <w:tcW w:w="1322" w:type="dxa"/>
            <w:shd w:val="clear" w:color="auto" w:fill="E7E6E6" w:themeFill="background2"/>
            <w:vAlign w:val="center"/>
            <w:hideMark/>
          </w:tcPr>
          <w:p w14:paraId="52F29C74"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85%</w:t>
            </w:r>
          </w:p>
        </w:tc>
        <w:tc>
          <w:tcPr>
            <w:tcW w:w="1204" w:type="dxa"/>
            <w:shd w:val="clear" w:color="auto" w:fill="D5DCE4" w:themeFill="text2" w:themeFillTint="33"/>
            <w:vAlign w:val="center"/>
            <w:hideMark/>
          </w:tcPr>
          <w:p w14:paraId="4068FE62"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5%</w:t>
            </w:r>
          </w:p>
        </w:tc>
        <w:tc>
          <w:tcPr>
            <w:tcW w:w="1263" w:type="dxa"/>
            <w:shd w:val="clear" w:color="auto" w:fill="D5DCE4" w:themeFill="text2" w:themeFillTint="33"/>
            <w:vAlign w:val="center"/>
            <w:hideMark/>
          </w:tcPr>
          <w:p w14:paraId="16F3D331"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85%</w:t>
            </w:r>
          </w:p>
        </w:tc>
        <w:tc>
          <w:tcPr>
            <w:tcW w:w="1263" w:type="dxa"/>
            <w:shd w:val="clear" w:color="auto" w:fill="D5DCE4" w:themeFill="text2" w:themeFillTint="33"/>
            <w:vAlign w:val="center"/>
            <w:hideMark/>
          </w:tcPr>
          <w:p w14:paraId="22F9AD42"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85%</w:t>
            </w:r>
          </w:p>
        </w:tc>
        <w:tc>
          <w:tcPr>
            <w:tcW w:w="1264" w:type="dxa"/>
            <w:shd w:val="clear" w:color="auto" w:fill="D5DCE4" w:themeFill="text2" w:themeFillTint="33"/>
            <w:vAlign w:val="center"/>
            <w:hideMark/>
          </w:tcPr>
          <w:p w14:paraId="5F788821" w14:textId="4484B4D2" w:rsidR="00D71CE1" w:rsidRPr="003C00F6" w:rsidRDefault="003C00F6"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Surplus / Loss</w:t>
            </w:r>
          </w:p>
        </w:tc>
      </w:tr>
      <w:tr w:rsidR="00D71CE1" w:rsidRPr="00CF5147" w14:paraId="3B0847AB" w14:textId="77777777" w:rsidTr="003C00F6">
        <w:trPr>
          <w:trHeight w:val="840"/>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7FE13166" w14:textId="77777777" w:rsidR="00D71CE1" w:rsidRPr="00CF5147" w:rsidRDefault="00D71CE1" w:rsidP="0041018F">
            <w:pPr>
              <w:rPr>
                <w:sz w:val="18"/>
                <w:szCs w:val="18"/>
              </w:rPr>
            </w:pPr>
            <w:r w:rsidRPr="00CF5147">
              <w:rPr>
                <w:sz w:val="18"/>
                <w:szCs w:val="18"/>
              </w:rPr>
              <w:t>Annual Revenue Raised</w:t>
            </w:r>
          </w:p>
        </w:tc>
        <w:tc>
          <w:tcPr>
            <w:tcW w:w="1404" w:type="dxa"/>
            <w:vAlign w:val="center"/>
            <w:hideMark/>
          </w:tcPr>
          <w:p w14:paraId="7D310DF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£12,480,000</w:t>
            </w:r>
          </w:p>
        </w:tc>
        <w:tc>
          <w:tcPr>
            <w:tcW w:w="1263" w:type="dxa"/>
            <w:vAlign w:val="center"/>
            <w:hideMark/>
          </w:tcPr>
          <w:p w14:paraId="5DF0A20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£11,232,000</w:t>
            </w:r>
          </w:p>
        </w:tc>
        <w:tc>
          <w:tcPr>
            <w:tcW w:w="1322" w:type="dxa"/>
            <w:vAlign w:val="center"/>
            <w:hideMark/>
          </w:tcPr>
          <w:p w14:paraId="7383D6E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£10,608,000</w:t>
            </w:r>
          </w:p>
        </w:tc>
        <w:tc>
          <w:tcPr>
            <w:tcW w:w="1204" w:type="dxa"/>
            <w:vAlign w:val="center"/>
            <w:hideMark/>
          </w:tcPr>
          <w:p w14:paraId="23D8544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£6,240,000</w:t>
            </w:r>
          </w:p>
        </w:tc>
        <w:tc>
          <w:tcPr>
            <w:tcW w:w="1263" w:type="dxa"/>
            <w:vAlign w:val="center"/>
            <w:hideMark/>
          </w:tcPr>
          <w:p w14:paraId="3D2510AA"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£10,608,000</w:t>
            </w:r>
          </w:p>
        </w:tc>
        <w:tc>
          <w:tcPr>
            <w:tcW w:w="1263" w:type="dxa"/>
            <w:vAlign w:val="center"/>
            <w:hideMark/>
          </w:tcPr>
          <w:p w14:paraId="51FD156F"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£10,608,000</w:t>
            </w:r>
          </w:p>
        </w:tc>
        <w:tc>
          <w:tcPr>
            <w:tcW w:w="1264" w:type="dxa"/>
            <w:shd w:val="clear" w:color="auto" w:fill="D5DCE4" w:themeFill="text2" w:themeFillTint="33"/>
            <w:vAlign w:val="center"/>
            <w:hideMark/>
          </w:tcPr>
          <w:p w14:paraId="752C2EB2" w14:textId="01DE41FB" w:rsidR="00D71CE1" w:rsidRPr="00CF5147" w:rsidRDefault="003C00F6"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D71CE1" w:rsidRPr="00CF5147" w14:paraId="774C5A5E" w14:textId="77777777" w:rsidTr="003C00F6">
        <w:trPr>
          <w:trHeight w:val="838"/>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47B23F44" w14:textId="77777777" w:rsidR="00D71CE1" w:rsidRPr="00CF5147" w:rsidRDefault="00D71CE1" w:rsidP="0041018F">
            <w:pPr>
              <w:rPr>
                <w:sz w:val="18"/>
                <w:szCs w:val="18"/>
              </w:rPr>
            </w:pPr>
            <w:r w:rsidRPr="00CF5147">
              <w:rPr>
                <w:sz w:val="18"/>
                <w:szCs w:val="18"/>
              </w:rPr>
              <w:t xml:space="preserve">Running cost </w:t>
            </w:r>
          </w:p>
        </w:tc>
        <w:tc>
          <w:tcPr>
            <w:tcW w:w="1404" w:type="dxa"/>
            <w:noWrap/>
            <w:vAlign w:val="center"/>
            <w:hideMark/>
          </w:tcPr>
          <w:p w14:paraId="1C31ECDF"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63" w:type="dxa"/>
            <w:noWrap/>
            <w:vAlign w:val="center"/>
            <w:hideMark/>
          </w:tcPr>
          <w:p w14:paraId="4258E055"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322" w:type="dxa"/>
            <w:noWrap/>
            <w:vAlign w:val="center"/>
            <w:hideMark/>
          </w:tcPr>
          <w:p w14:paraId="66A2F4FE"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04" w:type="dxa"/>
            <w:vAlign w:val="center"/>
            <w:hideMark/>
          </w:tcPr>
          <w:p w14:paraId="149DA57E"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£8,683,000</w:t>
            </w:r>
          </w:p>
        </w:tc>
        <w:tc>
          <w:tcPr>
            <w:tcW w:w="1263" w:type="dxa"/>
            <w:noWrap/>
            <w:vAlign w:val="center"/>
            <w:hideMark/>
          </w:tcPr>
          <w:p w14:paraId="7EE297DB"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63" w:type="dxa"/>
            <w:noWrap/>
            <w:vAlign w:val="center"/>
            <w:hideMark/>
          </w:tcPr>
          <w:p w14:paraId="55E8988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64" w:type="dxa"/>
            <w:shd w:val="clear" w:color="auto" w:fill="D5DCE4" w:themeFill="text2" w:themeFillTint="33"/>
            <w:vAlign w:val="center"/>
            <w:hideMark/>
          </w:tcPr>
          <w:p w14:paraId="57306981" w14:textId="2943F089" w:rsidR="00D71CE1" w:rsidRPr="00CF5147" w:rsidRDefault="003C00F6"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D71CE1" w:rsidRPr="00CF5147" w14:paraId="764BD6CC" w14:textId="77777777" w:rsidTr="003C00F6">
        <w:trPr>
          <w:trHeight w:val="722"/>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4733C68D" w14:textId="77777777" w:rsidR="00D71CE1" w:rsidRPr="00CF5147" w:rsidRDefault="00D71CE1" w:rsidP="0041018F">
            <w:pPr>
              <w:rPr>
                <w:sz w:val="18"/>
                <w:szCs w:val="18"/>
              </w:rPr>
            </w:pPr>
            <w:r w:rsidRPr="00CF5147">
              <w:rPr>
                <w:sz w:val="18"/>
                <w:szCs w:val="18"/>
              </w:rPr>
              <w:t>Surplus/Loss</w:t>
            </w:r>
          </w:p>
        </w:tc>
        <w:tc>
          <w:tcPr>
            <w:tcW w:w="1404" w:type="dxa"/>
            <w:vAlign w:val="center"/>
            <w:hideMark/>
          </w:tcPr>
          <w:p w14:paraId="2854F98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£3,885,000</w:t>
            </w:r>
          </w:p>
        </w:tc>
        <w:tc>
          <w:tcPr>
            <w:tcW w:w="1263" w:type="dxa"/>
            <w:vAlign w:val="center"/>
            <w:hideMark/>
          </w:tcPr>
          <w:p w14:paraId="5EF6400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£2,637,000</w:t>
            </w:r>
          </w:p>
        </w:tc>
        <w:tc>
          <w:tcPr>
            <w:tcW w:w="1322" w:type="dxa"/>
            <w:vAlign w:val="center"/>
            <w:hideMark/>
          </w:tcPr>
          <w:p w14:paraId="28035A62"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£2,013,000</w:t>
            </w:r>
          </w:p>
        </w:tc>
        <w:tc>
          <w:tcPr>
            <w:tcW w:w="1204" w:type="dxa"/>
            <w:vAlign w:val="center"/>
            <w:hideMark/>
          </w:tcPr>
          <w:p w14:paraId="23AF358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-£2,443,000</w:t>
            </w:r>
          </w:p>
        </w:tc>
        <w:tc>
          <w:tcPr>
            <w:tcW w:w="1263" w:type="dxa"/>
            <w:vAlign w:val="center"/>
            <w:hideMark/>
          </w:tcPr>
          <w:p w14:paraId="13A519F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£2,013,000</w:t>
            </w:r>
          </w:p>
        </w:tc>
        <w:tc>
          <w:tcPr>
            <w:tcW w:w="1263" w:type="dxa"/>
            <w:vAlign w:val="center"/>
            <w:hideMark/>
          </w:tcPr>
          <w:p w14:paraId="3FE0F83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£2,013,000</w:t>
            </w:r>
          </w:p>
        </w:tc>
        <w:tc>
          <w:tcPr>
            <w:tcW w:w="1264" w:type="dxa"/>
            <w:shd w:val="clear" w:color="auto" w:fill="D5DCE4" w:themeFill="text2" w:themeFillTint="33"/>
            <w:vAlign w:val="center"/>
            <w:hideMark/>
          </w:tcPr>
          <w:p w14:paraId="349FECCA"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£527,670</w:t>
            </w:r>
          </w:p>
        </w:tc>
      </w:tr>
      <w:tr w:rsidR="00D71CE1" w:rsidRPr="00CF5147" w14:paraId="4AE3509C" w14:textId="77777777" w:rsidTr="003C00F6">
        <w:trPr>
          <w:trHeight w:val="564"/>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567C5302" w14:textId="77777777" w:rsidR="00D71CE1" w:rsidRPr="00CF5147" w:rsidRDefault="00D71CE1" w:rsidP="0041018F">
            <w:pPr>
              <w:rPr>
                <w:sz w:val="18"/>
                <w:szCs w:val="18"/>
              </w:rPr>
            </w:pPr>
            <w:r w:rsidRPr="00CF5147">
              <w:rPr>
                <w:sz w:val="18"/>
                <w:szCs w:val="18"/>
              </w:rPr>
              <w:t>Surplus/Loss per LA with 33 members</w:t>
            </w:r>
          </w:p>
        </w:tc>
        <w:tc>
          <w:tcPr>
            <w:tcW w:w="1404" w:type="dxa"/>
            <w:vAlign w:val="center"/>
            <w:hideMark/>
          </w:tcPr>
          <w:p w14:paraId="7A895A2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£117,730</w:t>
            </w:r>
          </w:p>
        </w:tc>
        <w:tc>
          <w:tcPr>
            <w:tcW w:w="1263" w:type="dxa"/>
            <w:vAlign w:val="center"/>
            <w:hideMark/>
          </w:tcPr>
          <w:p w14:paraId="02546FA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£79,910</w:t>
            </w:r>
          </w:p>
        </w:tc>
        <w:tc>
          <w:tcPr>
            <w:tcW w:w="1322" w:type="dxa"/>
            <w:vAlign w:val="center"/>
            <w:hideMark/>
          </w:tcPr>
          <w:p w14:paraId="7C4AFE8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£61,000</w:t>
            </w:r>
          </w:p>
        </w:tc>
        <w:tc>
          <w:tcPr>
            <w:tcW w:w="1204" w:type="dxa"/>
            <w:vAlign w:val="center"/>
            <w:hideMark/>
          </w:tcPr>
          <w:p w14:paraId="6412693D"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-£74,030</w:t>
            </w:r>
          </w:p>
        </w:tc>
        <w:tc>
          <w:tcPr>
            <w:tcW w:w="1263" w:type="dxa"/>
            <w:vAlign w:val="center"/>
            <w:hideMark/>
          </w:tcPr>
          <w:p w14:paraId="315C39EE"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£61,000</w:t>
            </w:r>
          </w:p>
        </w:tc>
        <w:tc>
          <w:tcPr>
            <w:tcW w:w="1263" w:type="dxa"/>
            <w:vAlign w:val="center"/>
            <w:hideMark/>
          </w:tcPr>
          <w:p w14:paraId="3A272119"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£61,000</w:t>
            </w:r>
          </w:p>
        </w:tc>
        <w:tc>
          <w:tcPr>
            <w:tcW w:w="1264" w:type="dxa"/>
            <w:shd w:val="clear" w:color="auto" w:fill="D5DCE4" w:themeFill="text2" w:themeFillTint="33"/>
            <w:vAlign w:val="center"/>
            <w:hideMark/>
          </w:tcPr>
          <w:p w14:paraId="0A2D9A6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£15,990</w:t>
            </w:r>
          </w:p>
          <w:p w14:paraId="1289C8A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71CE1" w:rsidRPr="00CF5147" w14:paraId="085A66AB" w14:textId="77777777" w:rsidTr="003C00F6">
        <w:trPr>
          <w:trHeight w:val="558"/>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0D985561" w14:textId="77777777" w:rsidR="00D71CE1" w:rsidRPr="00CF5147" w:rsidRDefault="00D71CE1" w:rsidP="0041018F">
            <w:pPr>
              <w:rPr>
                <w:sz w:val="18"/>
                <w:szCs w:val="18"/>
              </w:rPr>
            </w:pPr>
            <w:r w:rsidRPr="00CF5147">
              <w:rPr>
                <w:sz w:val="18"/>
                <w:szCs w:val="18"/>
              </w:rPr>
              <w:t>Surplus/Loss per LA with 25 members</w:t>
            </w:r>
          </w:p>
        </w:tc>
        <w:tc>
          <w:tcPr>
            <w:tcW w:w="1404" w:type="dxa"/>
            <w:vAlign w:val="center"/>
            <w:hideMark/>
          </w:tcPr>
          <w:p w14:paraId="28102283"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£155,400</w:t>
            </w:r>
          </w:p>
        </w:tc>
        <w:tc>
          <w:tcPr>
            <w:tcW w:w="1263" w:type="dxa"/>
            <w:vAlign w:val="center"/>
            <w:hideMark/>
          </w:tcPr>
          <w:p w14:paraId="0E08BEE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£105,480</w:t>
            </w:r>
          </w:p>
        </w:tc>
        <w:tc>
          <w:tcPr>
            <w:tcW w:w="1322" w:type="dxa"/>
            <w:vAlign w:val="center"/>
            <w:hideMark/>
          </w:tcPr>
          <w:p w14:paraId="008F759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£80,520</w:t>
            </w:r>
          </w:p>
        </w:tc>
        <w:tc>
          <w:tcPr>
            <w:tcW w:w="1204" w:type="dxa"/>
            <w:vAlign w:val="center"/>
            <w:hideMark/>
          </w:tcPr>
          <w:p w14:paraId="1A9DD52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-£97720</w:t>
            </w:r>
          </w:p>
        </w:tc>
        <w:tc>
          <w:tcPr>
            <w:tcW w:w="1263" w:type="dxa"/>
            <w:vAlign w:val="center"/>
            <w:hideMark/>
          </w:tcPr>
          <w:p w14:paraId="340709B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£80,520</w:t>
            </w:r>
          </w:p>
        </w:tc>
        <w:tc>
          <w:tcPr>
            <w:tcW w:w="1263" w:type="dxa"/>
            <w:vAlign w:val="center"/>
            <w:hideMark/>
          </w:tcPr>
          <w:p w14:paraId="0D0CA0F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£80,520</w:t>
            </w:r>
          </w:p>
        </w:tc>
        <w:tc>
          <w:tcPr>
            <w:tcW w:w="1264" w:type="dxa"/>
            <w:shd w:val="clear" w:color="auto" w:fill="D5DCE4" w:themeFill="text2" w:themeFillTint="33"/>
            <w:vAlign w:val="center"/>
            <w:hideMark/>
          </w:tcPr>
          <w:p w14:paraId="3886E52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£21,110</w:t>
            </w:r>
          </w:p>
          <w:p w14:paraId="2A11CFB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71CE1" w:rsidRPr="00CF5147" w14:paraId="30A65104" w14:textId="77777777" w:rsidTr="003C00F6">
        <w:trPr>
          <w:trHeight w:val="424"/>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0F2150AB" w14:textId="77777777" w:rsidR="00D71CE1" w:rsidRPr="00CF5147" w:rsidRDefault="00D71CE1" w:rsidP="0041018F">
            <w:pPr>
              <w:rPr>
                <w:sz w:val="18"/>
                <w:szCs w:val="18"/>
              </w:rPr>
            </w:pPr>
            <w:r w:rsidRPr="00CF5147">
              <w:rPr>
                <w:sz w:val="18"/>
                <w:szCs w:val="18"/>
              </w:rPr>
              <w:t>Surplus/Loss per LA with 16 members</w:t>
            </w:r>
          </w:p>
        </w:tc>
        <w:tc>
          <w:tcPr>
            <w:tcW w:w="1404" w:type="dxa"/>
            <w:vAlign w:val="center"/>
            <w:hideMark/>
          </w:tcPr>
          <w:p w14:paraId="0C20597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£242,810</w:t>
            </w:r>
          </w:p>
        </w:tc>
        <w:tc>
          <w:tcPr>
            <w:tcW w:w="1263" w:type="dxa"/>
            <w:vAlign w:val="center"/>
            <w:hideMark/>
          </w:tcPr>
          <w:p w14:paraId="5015A7B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£164,810</w:t>
            </w:r>
          </w:p>
        </w:tc>
        <w:tc>
          <w:tcPr>
            <w:tcW w:w="1322" w:type="dxa"/>
            <w:vAlign w:val="center"/>
            <w:hideMark/>
          </w:tcPr>
          <w:p w14:paraId="69CFDDC3"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£125,810</w:t>
            </w:r>
          </w:p>
        </w:tc>
        <w:tc>
          <w:tcPr>
            <w:tcW w:w="1204" w:type="dxa"/>
            <w:vAlign w:val="center"/>
            <w:hideMark/>
          </w:tcPr>
          <w:p w14:paraId="667B6A3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-£152,690</w:t>
            </w:r>
          </w:p>
        </w:tc>
        <w:tc>
          <w:tcPr>
            <w:tcW w:w="1263" w:type="dxa"/>
            <w:vAlign w:val="center"/>
            <w:hideMark/>
          </w:tcPr>
          <w:p w14:paraId="27A69AC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£125,810</w:t>
            </w:r>
          </w:p>
        </w:tc>
        <w:tc>
          <w:tcPr>
            <w:tcW w:w="1263" w:type="dxa"/>
            <w:vAlign w:val="center"/>
            <w:hideMark/>
          </w:tcPr>
          <w:p w14:paraId="3D8D3D4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£125,810</w:t>
            </w:r>
          </w:p>
        </w:tc>
        <w:tc>
          <w:tcPr>
            <w:tcW w:w="1264" w:type="dxa"/>
            <w:shd w:val="clear" w:color="auto" w:fill="D5DCE4" w:themeFill="text2" w:themeFillTint="33"/>
            <w:vAlign w:val="center"/>
            <w:hideMark/>
          </w:tcPr>
          <w:p w14:paraId="6E74BD55"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£32,980</w:t>
            </w:r>
          </w:p>
          <w:p w14:paraId="0F905F5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71CE1" w:rsidRPr="00CF5147" w14:paraId="1583C2C4" w14:textId="77777777" w:rsidTr="003C00F6">
        <w:trPr>
          <w:trHeight w:val="488"/>
        </w:trPr>
        <w:tc>
          <w:tcPr>
            <w:cnfStyle w:val="001000000000" w:firstRow="0" w:lastRow="0" w:firstColumn="1" w:lastColumn="0" w:oddVBand="0" w:evenVBand="0" w:oddHBand="0" w:evenHBand="0" w:firstRowFirstColumn="0" w:firstRowLastColumn="0" w:lastRowFirstColumn="0" w:lastRowLastColumn="0"/>
            <w:tcW w:w="1965" w:type="dxa"/>
            <w:shd w:val="clear" w:color="auto" w:fill="E7E6E6" w:themeFill="background2"/>
            <w:hideMark/>
          </w:tcPr>
          <w:p w14:paraId="777EDA12" w14:textId="77777777" w:rsidR="00D71CE1" w:rsidRPr="00CF5147" w:rsidRDefault="00D71CE1" w:rsidP="0041018F">
            <w:pPr>
              <w:rPr>
                <w:sz w:val="18"/>
                <w:szCs w:val="18"/>
              </w:rPr>
            </w:pPr>
            <w:r w:rsidRPr="00CF5147">
              <w:rPr>
                <w:sz w:val="18"/>
                <w:szCs w:val="18"/>
              </w:rPr>
              <w:t>Surplus/Loss per LA with 8 members</w:t>
            </w:r>
          </w:p>
        </w:tc>
        <w:tc>
          <w:tcPr>
            <w:tcW w:w="1404" w:type="dxa"/>
            <w:vAlign w:val="center"/>
            <w:hideMark/>
          </w:tcPr>
          <w:p w14:paraId="5880D9A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£485,625</w:t>
            </w:r>
          </w:p>
        </w:tc>
        <w:tc>
          <w:tcPr>
            <w:tcW w:w="1263" w:type="dxa"/>
            <w:vAlign w:val="center"/>
            <w:hideMark/>
          </w:tcPr>
          <w:p w14:paraId="622AB1E9"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£329,625</w:t>
            </w:r>
          </w:p>
        </w:tc>
        <w:tc>
          <w:tcPr>
            <w:tcW w:w="1322" w:type="dxa"/>
            <w:vAlign w:val="center"/>
            <w:hideMark/>
          </w:tcPr>
          <w:p w14:paraId="1AF8141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£251,625</w:t>
            </w:r>
          </w:p>
        </w:tc>
        <w:tc>
          <w:tcPr>
            <w:tcW w:w="1204" w:type="dxa"/>
            <w:vAlign w:val="center"/>
            <w:hideMark/>
          </w:tcPr>
          <w:p w14:paraId="3A282F3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-£305,375</w:t>
            </w:r>
          </w:p>
        </w:tc>
        <w:tc>
          <w:tcPr>
            <w:tcW w:w="1263" w:type="dxa"/>
            <w:vAlign w:val="center"/>
            <w:hideMark/>
          </w:tcPr>
          <w:p w14:paraId="32A74D6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£251,625</w:t>
            </w:r>
          </w:p>
        </w:tc>
        <w:tc>
          <w:tcPr>
            <w:tcW w:w="1263" w:type="dxa"/>
            <w:vAlign w:val="center"/>
            <w:hideMark/>
          </w:tcPr>
          <w:p w14:paraId="57516A1E"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£251,625</w:t>
            </w:r>
          </w:p>
        </w:tc>
        <w:tc>
          <w:tcPr>
            <w:tcW w:w="1264" w:type="dxa"/>
            <w:shd w:val="clear" w:color="auto" w:fill="D5DCE4" w:themeFill="text2" w:themeFillTint="33"/>
            <w:vAlign w:val="center"/>
            <w:hideMark/>
          </w:tcPr>
          <w:p w14:paraId="6960EAD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5147">
              <w:rPr>
                <w:color w:val="000000"/>
                <w:sz w:val="18"/>
                <w:szCs w:val="18"/>
              </w:rPr>
              <w:t>£65,960</w:t>
            </w:r>
          </w:p>
          <w:p w14:paraId="461E5A8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05F21161" w14:textId="77777777" w:rsidR="003C00F6" w:rsidRDefault="003C00F6" w:rsidP="00D71CE1">
      <w:pPr>
        <w:spacing w:before="100" w:beforeAutospacing="1" w:after="100" w:afterAutospacing="1"/>
        <w:rPr>
          <w:b/>
          <w:bCs/>
          <w:color w:val="000000"/>
          <w:sz w:val="24"/>
          <w:szCs w:val="24"/>
          <w:u w:val="single"/>
        </w:rPr>
      </w:pPr>
    </w:p>
    <w:p w14:paraId="04017304" w14:textId="1E3C2F5F" w:rsidR="00D71CE1" w:rsidRPr="00876D9D" w:rsidRDefault="00D71CE1" w:rsidP="00D71CE1">
      <w:pPr>
        <w:spacing w:before="100" w:beforeAutospacing="1" w:after="100" w:afterAutospacing="1"/>
        <w:rPr>
          <w:b/>
          <w:bCs/>
          <w:color w:val="000000"/>
          <w:sz w:val="24"/>
          <w:szCs w:val="24"/>
          <w:u w:val="single"/>
        </w:rPr>
      </w:pPr>
      <w:r w:rsidRPr="00876D9D">
        <w:rPr>
          <w:b/>
          <w:bCs/>
          <w:color w:val="000000"/>
          <w:sz w:val="24"/>
          <w:szCs w:val="24"/>
          <w:u w:val="single"/>
        </w:rPr>
        <w:t>2.3: Scenario C</w:t>
      </w:r>
    </w:p>
    <w:p w14:paraId="46A615A7" w14:textId="49FC4CE5" w:rsidR="00D71CE1" w:rsidRDefault="00D71CE1" w:rsidP="00D71CE1">
      <w:pPr>
        <w:spacing w:before="100" w:beforeAutospacing="1" w:after="100" w:afterAutospacing="1"/>
        <w:rPr>
          <w:color w:val="000000"/>
          <w:sz w:val="24"/>
          <w:szCs w:val="24"/>
        </w:rPr>
      </w:pPr>
      <w:r>
        <w:rPr>
          <w:color w:val="000000"/>
          <w:sz w:val="24"/>
          <w:szCs w:val="24"/>
        </w:rPr>
        <w:t>In this scenario, the weekly placement cost is £12,000 across all years (no inflation factored in).</w:t>
      </w:r>
      <w:r w:rsidR="00236F07" w:rsidRPr="00236F07">
        <w:rPr>
          <w:i/>
          <w:iCs/>
          <w:color w:val="000000"/>
          <w:sz w:val="24"/>
          <w:szCs w:val="24"/>
        </w:rPr>
        <w:t xml:space="preserve"> Please note, placements</w:t>
      </w:r>
      <w:r w:rsidR="00236F07">
        <w:rPr>
          <w:i/>
          <w:iCs/>
          <w:color w:val="000000"/>
          <w:sz w:val="24"/>
          <w:szCs w:val="24"/>
        </w:rPr>
        <w:t xml:space="preserve"> that could be</w:t>
      </w:r>
      <w:r w:rsidR="00236F07" w:rsidRPr="00236F07">
        <w:rPr>
          <w:i/>
          <w:iCs/>
          <w:color w:val="000000"/>
          <w:sz w:val="24"/>
          <w:szCs w:val="24"/>
        </w:rPr>
        <w:t xml:space="preserve"> made by other LAs, </w:t>
      </w:r>
      <w:r w:rsidR="00236F07">
        <w:rPr>
          <w:i/>
          <w:iCs/>
          <w:color w:val="000000"/>
          <w:sz w:val="24"/>
          <w:szCs w:val="24"/>
        </w:rPr>
        <w:t xml:space="preserve">charged </w:t>
      </w:r>
      <w:r w:rsidR="00236F07" w:rsidRPr="00236F07">
        <w:rPr>
          <w:i/>
          <w:iCs/>
          <w:color w:val="000000"/>
          <w:sz w:val="24"/>
          <w:szCs w:val="24"/>
        </w:rPr>
        <w:t>at a higher cost, have not been factored in.</w:t>
      </w:r>
    </w:p>
    <w:tbl>
      <w:tblPr>
        <w:tblStyle w:val="GridTable1Light-Accent6"/>
        <w:tblW w:w="109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355"/>
        <w:gridCol w:w="1226"/>
        <w:gridCol w:w="1260"/>
        <w:gridCol w:w="1259"/>
        <w:gridCol w:w="1400"/>
        <w:gridCol w:w="1260"/>
        <w:gridCol w:w="1259"/>
      </w:tblGrid>
      <w:tr w:rsidR="00D71CE1" w:rsidRPr="00CF5147" w14:paraId="3921AB08" w14:textId="77777777" w:rsidTr="003C00F6">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98" w:type="dxa"/>
            <w:tcBorders>
              <w:bottom w:val="none" w:sz="0" w:space="0" w:color="auto"/>
            </w:tcBorders>
            <w:shd w:val="clear" w:color="auto" w:fill="E7E6E6" w:themeFill="background2"/>
            <w:vAlign w:val="center"/>
            <w:hideMark/>
          </w:tcPr>
          <w:p w14:paraId="6C998028" w14:textId="77777777" w:rsidR="00D71CE1" w:rsidRPr="00CF5147" w:rsidRDefault="00D71CE1" w:rsidP="00C3372B">
            <w:pPr>
              <w:rPr>
                <w:sz w:val="18"/>
                <w:szCs w:val="18"/>
              </w:rPr>
            </w:pPr>
            <w:r w:rsidRPr="00CF5147">
              <w:rPr>
                <w:sz w:val="18"/>
                <w:szCs w:val="18"/>
              </w:rPr>
              <w:t>Scenario C</w:t>
            </w:r>
          </w:p>
        </w:tc>
        <w:tc>
          <w:tcPr>
            <w:tcW w:w="1355" w:type="dxa"/>
            <w:tcBorders>
              <w:bottom w:val="none" w:sz="0" w:space="0" w:color="auto"/>
            </w:tcBorders>
            <w:shd w:val="clear" w:color="auto" w:fill="E7E6E6" w:themeFill="background2"/>
            <w:vAlign w:val="center"/>
            <w:hideMark/>
          </w:tcPr>
          <w:p w14:paraId="57D66C3A" w14:textId="77777777" w:rsidR="00D71CE1" w:rsidRPr="00CF5147" w:rsidRDefault="00D71CE1" w:rsidP="003C00F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F5147">
              <w:rPr>
                <w:sz w:val="18"/>
                <w:szCs w:val="18"/>
              </w:rPr>
              <w:t>C1</w:t>
            </w:r>
          </w:p>
        </w:tc>
        <w:tc>
          <w:tcPr>
            <w:tcW w:w="1226" w:type="dxa"/>
            <w:tcBorders>
              <w:bottom w:val="none" w:sz="0" w:space="0" w:color="auto"/>
            </w:tcBorders>
            <w:shd w:val="clear" w:color="auto" w:fill="E7E6E6" w:themeFill="background2"/>
            <w:vAlign w:val="center"/>
            <w:hideMark/>
          </w:tcPr>
          <w:p w14:paraId="5802C3E9" w14:textId="77777777" w:rsidR="00D71CE1" w:rsidRPr="00CF5147" w:rsidRDefault="00D71CE1" w:rsidP="003C00F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F5147">
              <w:rPr>
                <w:sz w:val="18"/>
                <w:szCs w:val="18"/>
              </w:rPr>
              <w:t>C2</w:t>
            </w:r>
          </w:p>
        </w:tc>
        <w:tc>
          <w:tcPr>
            <w:tcW w:w="1260" w:type="dxa"/>
            <w:tcBorders>
              <w:bottom w:val="none" w:sz="0" w:space="0" w:color="auto"/>
            </w:tcBorders>
            <w:shd w:val="clear" w:color="auto" w:fill="E7E6E6" w:themeFill="background2"/>
            <w:vAlign w:val="center"/>
            <w:hideMark/>
          </w:tcPr>
          <w:p w14:paraId="7D22AF7C" w14:textId="77777777" w:rsidR="00D71CE1" w:rsidRPr="00CF5147" w:rsidRDefault="00D71CE1" w:rsidP="003C00F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F5147">
              <w:rPr>
                <w:sz w:val="18"/>
                <w:szCs w:val="18"/>
              </w:rPr>
              <w:t>C3</w:t>
            </w:r>
          </w:p>
        </w:tc>
        <w:tc>
          <w:tcPr>
            <w:tcW w:w="5178" w:type="dxa"/>
            <w:gridSpan w:val="4"/>
            <w:tcBorders>
              <w:bottom w:val="none" w:sz="0" w:space="0" w:color="auto"/>
            </w:tcBorders>
            <w:shd w:val="clear" w:color="auto" w:fill="D5DCE4" w:themeFill="text2" w:themeFillTint="33"/>
            <w:vAlign w:val="center"/>
            <w:hideMark/>
          </w:tcPr>
          <w:p w14:paraId="36B33331" w14:textId="77777777" w:rsidR="00D71CE1" w:rsidRPr="00CF5147" w:rsidRDefault="00D71CE1" w:rsidP="003C00F6">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F5147">
              <w:rPr>
                <w:sz w:val="18"/>
                <w:szCs w:val="18"/>
              </w:rPr>
              <w:t>C4</w:t>
            </w:r>
          </w:p>
          <w:p w14:paraId="13BF9E1E" w14:textId="78D53091" w:rsidR="00D71CE1" w:rsidRPr="00CF5147" w:rsidRDefault="00D71CE1" w:rsidP="003C00F6">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F5147">
              <w:rPr>
                <w:sz w:val="18"/>
                <w:szCs w:val="18"/>
              </w:rPr>
              <w:t>Year 1                Year 2</w:t>
            </w:r>
            <w:r w:rsidRPr="00CF5147">
              <w:rPr>
                <w:b w:val="0"/>
                <w:bCs w:val="0"/>
                <w:sz w:val="18"/>
                <w:szCs w:val="18"/>
              </w:rPr>
              <w:t xml:space="preserve">               </w:t>
            </w:r>
            <w:r w:rsidRPr="00CF5147">
              <w:rPr>
                <w:sz w:val="18"/>
                <w:szCs w:val="18"/>
              </w:rPr>
              <w:t>Year 3</w:t>
            </w:r>
            <w:r w:rsidRPr="00CF5147">
              <w:rPr>
                <w:b w:val="0"/>
                <w:bCs w:val="0"/>
                <w:sz w:val="18"/>
                <w:szCs w:val="18"/>
              </w:rPr>
              <w:t xml:space="preserve">            </w:t>
            </w:r>
            <w:r w:rsidR="00CF5147">
              <w:rPr>
                <w:sz w:val="18"/>
                <w:szCs w:val="18"/>
              </w:rPr>
              <w:t>Over 3</w:t>
            </w:r>
            <w:r w:rsidR="00757211">
              <w:rPr>
                <w:sz w:val="18"/>
                <w:szCs w:val="18"/>
              </w:rPr>
              <w:t xml:space="preserve"> </w:t>
            </w:r>
            <w:r w:rsidRPr="00CF5147">
              <w:rPr>
                <w:sz w:val="18"/>
                <w:szCs w:val="18"/>
              </w:rPr>
              <w:t>years</w:t>
            </w:r>
          </w:p>
        </w:tc>
      </w:tr>
      <w:tr w:rsidR="00757211" w:rsidRPr="00CF5147" w14:paraId="1E3AADF3" w14:textId="77777777" w:rsidTr="003C00F6">
        <w:trPr>
          <w:trHeight w:val="334"/>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5BAB2C58" w14:textId="77777777" w:rsidR="00D71CE1" w:rsidRPr="00CF5147" w:rsidRDefault="00D71CE1" w:rsidP="00C3372B">
            <w:pPr>
              <w:rPr>
                <w:sz w:val="18"/>
                <w:szCs w:val="18"/>
              </w:rPr>
            </w:pPr>
            <w:r w:rsidRPr="00CF5147">
              <w:rPr>
                <w:sz w:val="18"/>
                <w:szCs w:val="18"/>
              </w:rPr>
              <w:t>Occupancy Rate</w:t>
            </w:r>
          </w:p>
        </w:tc>
        <w:tc>
          <w:tcPr>
            <w:tcW w:w="1355" w:type="dxa"/>
            <w:shd w:val="clear" w:color="auto" w:fill="E7E6E6" w:themeFill="background2"/>
            <w:vAlign w:val="center"/>
            <w:hideMark/>
          </w:tcPr>
          <w:p w14:paraId="50D10F06"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100%</w:t>
            </w:r>
          </w:p>
        </w:tc>
        <w:tc>
          <w:tcPr>
            <w:tcW w:w="1226" w:type="dxa"/>
            <w:shd w:val="clear" w:color="auto" w:fill="E7E6E6" w:themeFill="background2"/>
            <w:vAlign w:val="center"/>
            <w:hideMark/>
          </w:tcPr>
          <w:p w14:paraId="7F3A37F6"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90%</w:t>
            </w:r>
          </w:p>
        </w:tc>
        <w:tc>
          <w:tcPr>
            <w:tcW w:w="1260" w:type="dxa"/>
            <w:shd w:val="clear" w:color="auto" w:fill="E7E6E6" w:themeFill="background2"/>
            <w:vAlign w:val="center"/>
            <w:hideMark/>
          </w:tcPr>
          <w:p w14:paraId="7781CFF3"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85%</w:t>
            </w:r>
          </w:p>
        </w:tc>
        <w:tc>
          <w:tcPr>
            <w:tcW w:w="1259" w:type="dxa"/>
            <w:shd w:val="clear" w:color="auto" w:fill="D5DCE4" w:themeFill="text2" w:themeFillTint="33"/>
            <w:vAlign w:val="center"/>
            <w:hideMark/>
          </w:tcPr>
          <w:p w14:paraId="4A139995"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50%</w:t>
            </w:r>
          </w:p>
        </w:tc>
        <w:tc>
          <w:tcPr>
            <w:tcW w:w="1400" w:type="dxa"/>
            <w:shd w:val="clear" w:color="auto" w:fill="D5DCE4" w:themeFill="text2" w:themeFillTint="33"/>
            <w:vAlign w:val="center"/>
            <w:hideMark/>
          </w:tcPr>
          <w:p w14:paraId="6CF7D027"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85%</w:t>
            </w:r>
          </w:p>
        </w:tc>
        <w:tc>
          <w:tcPr>
            <w:tcW w:w="1260" w:type="dxa"/>
            <w:shd w:val="clear" w:color="auto" w:fill="D5DCE4" w:themeFill="text2" w:themeFillTint="33"/>
            <w:vAlign w:val="center"/>
            <w:hideMark/>
          </w:tcPr>
          <w:p w14:paraId="79F95F00" w14:textId="77777777" w:rsidR="00D71CE1" w:rsidRPr="003C00F6" w:rsidRDefault="00D71CE1"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85%</w:t>
            </w:r>
          </w:p>
        </w:tc>
        <w:tc>
          <w:tcPr>
            <w:tcW w:w="1259" w:type="dxa"/>
            <w:shd w:val="clear" w:color="auto" w:fill="D5DCE4" w:themeFill="text2" w:themeFillTint="33"/>
            <w:vAlign w:val="center"/>
            <w:hideMark/>
          </w:tcPr>
          <w:p w14:paraId="6EBE867F" w14:textId="351B8AAF" w:rsidR="00D71CE1" w:rsidRPr="003C00F6" w:rsidRDefault="003C00F6" w:rsidP="003C00F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C00F6">
              <w:rPr>
                <w:b/>
                <w:bCs/>
                <w:sz w:val="18"/>
                <w:szCs w:val="18"/>
              </w:rPr>
              <w:t>Surplus / Loss</w:t>
            </w:r>
          </w:p>
        </w:tc>
      </w:tr>
      <w:tr w:rsidR="00757211" w:rsidRPr="00CF5147" w14:paraId="2B3D75B6" w14:textId="77777777" w:rsidTr="003C00F6">
        <w:trPr>
          <w:trHeight w:val="416"/>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4C3007D6" w14:textId="77777777" w:rsidR="00D71CE1" w:rsidRPr="00CF5147" w:rsidRDefault="00D71CE1" w:rsidP="00C3372B">
            <w:pPr>
              <w:rPr>
                <w:sz w:val="18"/>
                <w:szCs w:val="18"/>
              </w:rPr>
            </w:pPr>
            <w:r w:rsidRPr="00CF5147">
              <w:rPr>
                <w:sz w:val="18"/>
                <w:szCs w:val="18"/>
              </w:rPr>
              <w:t>Annual Revenue Raised</w:t>
            </w:r>
          </w:p>
        </w:tc>
        <w:tc>
          <w:tcPr>
            <w:tcW w:w="1355" w:type="dxa"/>
            <w:vAlign w:val="center"/>
            <w:hideMark/>
          </w:tcPr>
          <w:p w14:paraId="69A97E4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£14,976,000</w:t>
            </w:r>
          </w:p>
        </w:tc>
        <w:tc>
          <w:tcPr>
            <w:tcW w:w="1226" w:type="dxa"/>
            <w:vAlign w:val="center"/>
            <w:hideMark/>
          </w:tcPr>
          <w:p w14:paraId="265F167B"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£13,478,400</w:t>
            </w:r>
          </w:p>
        </w:tc>
        <w:tc>
          <w:tcPr>
            <w:tcW w:w="1260" w:type="dxa"/>
            <w:vAlign w:val="center"/>
            <w:hideMark/>
          </w:tcPr>
          <w:p w14:paraId="28EE439A"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£12,729,600</w:t>
            </w:r>
          </w:p>
        </w:tc>
        <w:tc>
          <w:tcPr>
            <w:tcW w:w="1259" w:type="dxa"/>
            <w:vAlign w:val="center"/>
            <w:hideMark/>
          </w:tcPr>
          <w:p w14:paraId="57A43965"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£7,488,000</w:t>
            </w:r>
          </w:p>
        </w:tc>
        <w:tc>
          <w:tcPr>
            <w:tcW w:w="1400" w:type="dxa"/>
            <w:vAlign w:val="center"/>
            <w:hideMark/>
          </w:tcPr>
          <w:p w14:paraId="523AB859"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£12,729,600</w:t>
            </w:r>
          </w:p>
        </w:tc>
        <w:tc>
          <w:tcPr>
            <w:tcW w:w="1260" w:type="dxa"/>
            <w:vAlign w:val="center"/>
            <w:hideMark/>
          </w:tcPr>
          <w:p w14:paraId="31BF145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£12,729,600</w:t>
            </w:r>
          </w:p>
        </w:tc>
        <w:tc>
          <w:tcPr>
            <w:tcW w:w="1259" w:type="dxa"/>
            <w:shd w:val="clear" w:color="auto" w:fill="D5DCE4" w:themeFill="text2" w:themeFillTint="33"/>
            <w:vAlign w:val="center"/>
            <w:hideMark/>
          </w:tcPr>
          <w:p w14:paraId="0A7AFCB6" w14:textId="399535D5" w:rsidR="00D71CE1" w:rsidRPr="00CF5147" w:rsidRDefault="003C00F6"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757211" w:rsidRPr="00CF5147" w14:paraId="54A7D53A" w14:textId="77777777" w:rsidTr="003C00F6">
        <w:trPr>
          <w:trHeight w:val="699"/>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6FD9854E" w14:textId="77777777" w:rsidR="00D71CE1" w:rsidRPr="00CF5147" w:rsidRDefault="00D71CE1" w:rsidP="00C3372B">
            <w:pPr>
              <w:rPr>
                <w:sz w:val="18"/>
                <w:szCs w:val="18"/>
              </w:rPr>
            </w:pPr>
            <w:r w:rsidRPr="00CF5147">
              <w:rPr>
                <w:sz w:val="18"/>
                <w:szCs w:val="18"/>
              </w:rPr>
              <w:lastRenderedPageBreak/>
              <w:t>Running Cost</w:t>
            </w:r>
          </w:p>
        </w:tc>
        <w:tc>
          <w:tcPr>
            <w:tcW w:w="1355" w:type="dxa"/>
            <w:noWrap/>
            <w:vAlign w:val="center"/>
            <w:hideMark/>
          </w:tcPr>
          <w:p w14:paraId="06DBF86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26" w:type="dxa"/>
            <w:noWrap/>
            <w:vAlign w:val="center"/>
            <w:hideMark/>
          </w:tcPr>
          <w:p w14:paraId="3FD52CA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60" w:type="dxa"/>
            <w:noWrap/>
            <w:vAlign w:val="center"/>
            <w:hideMark/>
          </w:tcPr>
          <w:p w14:paraId="701F0D6F"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59" w:type="dxa"/>
            <w:vAlign w:val="center"/>
            <w:hideMark/>
          </w:tcPr>
          <w:p w14:paraId="72534472"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£8,683,000</w:t>
            </w:r>
          </w:p>
        </w:tc>
        <w:tc>
          <w:tcPr>
            <w:tcW w:w="1400" w:type="dxa"/>
            <w:noWrap/>
            <w:vAlign w:val="center"/>
            <w:hideMark/>
          </w:tcPr>
          <w:p w14:paraId="7F75C39E"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60" w:type="dxa"/>
            <w:noWrap/>
            <w:vAlign w:val="center"/>
            <w:hideMark/>
          </w:tcPr>
          <w:p w14:paraId="63DE8E7D"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£8,595,000</w:t>
            </w:r>
          </w:p>
        </w:tc>
        <w:tc>
          <w:tcPr>
            <w:tcW w:w="1259" w:type="dxa"/>
            <w:shd w:val="clear" w:color="auto" w:fill="D5DCE4" w:themeFill="text2" w:themeFillTint="33"/>
            <w:vAlign w:val="center"/>
            <w:hideMark/>
          </w:tcPr>
          <w:p w14:paraId="6C0D489E" w14:textId="13973689" w:rsidR="00D71CE1" w:rsidRPr="00CF5147" w:rsidRDefault="003C00F6"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757211" w:rsidRPr="00CF5147" w14:paraId="4D76B113" w14:textId="77777777" w:rsidTr="003C00F6">
        <w:trPr>
          <w:trHeight w:val="709"/>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6ED9A313" w14:textId="6835913E" w:rsidR="00D71CE1" w:rsidRPr="00C3372B" w:rsidRDefault="00D71CE1" w:rsidP="00C3372B">
            <w:pPr>
              <w:rPr>
                <w:b w:val="0"/>
                <w:bCs w:val="0"/>
                <w:sz w:val="18"/>
                <w:szCs w:val="18"/>
              </w:rPr>
            </w:pPr>
            <w:r w:rsidRPr="00CF5147">
              <w:rPr>
                <w:sz w:val="18"/>
                <w:szCs w:val="18"/>
              </w:rPr>
              <w:t>Surplus/Loss</w:t>
            </w:r>
          </w:p>
        </w:tc>
        <w:tc>
          <w:tcPr>
            <w:tcW w:w="1355" w:type="dxa"/>
            <w:vAlign w:val="center"/>
            <w:hideMark/>
          </w:tcPr>
          <w:p w14:paraId="2E51FA6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£6,381,000</w:t>
            </w:r>
          </w:p>
        </w:tc>
        <w:tc>
          <w:tcPr>
            <w:tcW w:w="1226" w:type="dxa"/>
            <w:vAlign w:val="center"/>
            <w:hideMark/>
          </w:tcPr>
          <w:p w14:paraId="19FF131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£4,883,400</w:t>
            </w:r>
          </w:p>
        </w:tc>
        <w:tc>
          <w:tcPr>
            <w:tcW w:w="1260" w:type="dxa"/>
            <w:vAlign w:val="center"/>
            <w:hideMark/>
          </w:tcPr>
          <w:p w14:paraId="698B0CA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£4,134,600</w:t>
            </w:r>
          </w:p>
        </w:tc>
        <w:tc>
          <w:tcPr>
            <w:tcW w:w="1259" w:type="dxa"/>
            <w:vAlign w:val="center"/>
            <w:hideMark/>
          </w:tcPr>
          <w:p w14:paraId="1671333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-£1,195,000</w:t>
            </w:r>
          </w:p>
        </w:tc>
        <w:tc>
          <w:tcPr>
            <w:tcW w:w="1400" w:type="dxa"/>
            <w:vAlign w:val="center"/>
            <w:hideMark/>
          </w:tcPr>
          <w:p w14:paraId="0FC6A8F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£4,134,600</w:t>
            </w:r>
          </w:p>
        </w:tc>
        <w:tc>
          <w:tcPr>
            <w:tcW w:w="1260" w:type="dxa"/>
            <w:vAlign w:val="center"/>
            <w:hideMark/>
          </w:tcPr>
          <w:p w14:paraId="534BBE8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£4,134,600</w:t>
            </w:r>
          </w:p>
        </w:tc>
        <w:tc>
          <w:tcPr>
            <w:tcW w:w="1259" w:type="dxa"/>
            <w:shd w:val="clear" w:color="auto" w:fill="D5DCE4" w:themeFill="text2" w:themeFillTint="33"/>
            <w:vAlign w:val="center"/>
            <w:hideMark/>
          </w:tcPr>
          <w:p w14:paraId="1BD82100"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£2,358,070</w:t>
            </w:r>
          </w:p>
        </w:tc>
      </w:tr>
      <w:tr w:rsidR="00757211" w:rsidRPr="00CF5147" w14:paraId="7575DCE3" w14:textId="77777777" w:rsidTr="003C00F6">
        <w:trPr>
          <w:trHeight w:val="577"/>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47887DCA" w14:textId="555CBCFD" w:rsidR="00D71CE1" w:rsidRPr="00757211" w:rsidRDefault="00D71CE1" w:rsidP="00C3372B">
            <w:pPr>
              <w:rPr>
                <w:b w:val="0"/>
                <w:bCs w:val="0"/>
                <w:sz w:val="18"/>
                <w:szCs w:val="18"/>
              </w:rPr>
            </w:pPr>
            <w:r w:rsidRPr="00CF5147">
              <w:rPr>
                <w:sz w:val="18"/>
                <w:szCs w:val="18"/>
              </w:rPr>
              <w:t>Surplus/Loss per LA with 33 members</w:t>
            </w:r>
          </w:p>
        </w:tc>
        <w:tc>
          <w:tcPr>
            <w:tcW w:w="1355" w:type="dxa"/>
            <w:vAlign w:val="center"/>
            <w:hideMark/>
          </w:tcPr>
          <w:p w14:paraId="5A4E7F9B"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£193,360</w:t>
            </w:r>
          </w:p>
        </w:tc>
        <w:tc>
          <w:tcPr>
            <w:tcW w:w="1226" w:type="dxa"/>
            <w:vAlign w:val="center"/>
            <w:hideMark/>
          </w:tcPr>
          <w:p w14:paraId="1082334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£147,980</w:t>
            </w:r>
          </w:p>
        </w:tc>
        <w:tc>
          <w:tcPr>
            <w:tcW w:w="1260" w:type="dxa"/>
            <w:vAlign w:val="center"/>
            <w:hideMark/>
          </w:tcPr>
          <w:p w14:paraId="6DF50533"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£125,290</w:t>
            </w:r>
          </w:p>
        </w:tc>
        <w:tc>
          <w:tcPr>
            <w:tcW w:w="1259" w:type="dxa"/>
            <w:vAlign w:val="center"/>
            <w:hideMark/>
          </w:tcPr>
          <w:p w14:paraId="6BD56565"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-£36210</w:t>
            </w:r>
          </w:p>
        </w:tc>
        <w:tc>
          <w:tcPr>
            <w:tcW w:w="1400" w:type="dxa"/>
            <w:vAlign w:val="center"/>
            <w:hideMark/>
          </w:tcPr>
          <w:p w14:paraId="749FB4DF"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£125,290</w:t>
            </w:r>
          </w:p>
        </w:tc>
        <w:tc>
          <w:tcPr>
            <w:tcW w:w="1260" w:type="dxa"/>
            <w:vAlign w:val="center"/>
            <w:hideMark/>
          </w:tcPr>
          <w:p w14:paraId="2DEABF7B"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£125,290</w:t>
            </w:r>
          </w:p>
        </w:tc>
        <w:tc>
          <w:tcPr>
            <w:tcW w:w="1259" w:type="dxa"/>
            <w:shd w:val="clear" w:color="auto" w:fill="D5DCE4" w:themeFill="text2" w:themeFillTint="33"/>
            <w:vAlign w:val="center"/>
            <w:hideMark/>
          </w:tcPr>
          <w:p w14:paraId="21C09DE3" w14:textId="3DA33C92"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£71,460</w:t>
            </w:r>
          </w:p>
        </w:tc>
      </w:tr>
      <w:tr w:rsidR="00757211" w:rsidRPr="00CF5147" w14:paraId="019DB169" w14:textId="77777777" w:rsidTr="003C00F6">
        <w:trPr>
          <w:trHeight w:val="414"/>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54224063" w14:textId="1655C9F8" w:rsidR="00D71CE1" w:rsidRPr="00757211" w:rsidRDefault="00D71CE1" w:rsidP="00C3372B">
            <w:pPr>
              <w:rPr>
                <w:b w:val="0"/>
                <w:bCs w:val="0"/>
                <w:sz w:val="18"/>
                <w:szCs w:val="18"/>
              </w:rPr>
            </w:pPr>
            <w:r w:rsidRPr="00CF5147">
              <w:rPr>
                <w:sz w:val="18"/>
                <w:szCs w:val="18"/>
              </w:rPr>
              <w:t>Surplus/Loss per LA with 25 members</w:t>
            </w:r>
          </w:p>
        </w:tc>
        <w:tc>
          <w:tcPr>
            <w:tcW w:w="1355" w:type="dxa"/>
            <w:vAlign w:val="center"/>
            <w:hideMark/>
          </w:tcPr>
          <w:p w14:paraId="410D03CF"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£255,240</w:t>
            </w:r>
          </w:p>
        </w:tc>
        <w:tc>
          <w:tcPr>
            <w:tcW w:w="1226" w:type="dxa"/>
            <w:vAlign w:val="center"/>
            <w:hideMark/>
          </w:tcPr>
          <w:p w14:paraId="2B5800FB"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£195,336</w:t>
            </w:r>
          </w:p>
        </w:tc>
        <w:tc>
          <w:tcPr>
            <w:tcW w:w="1260" w:type="dxa"/>
            <w:vAlign w:val="center"/>
            <w:hideMark/>
          </w:tcPr>
          <w:p w14:paraId="6A2A5C6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£165,384</w:t>
            </w:r>
          </w:p>
        </w:tc>
        <w:tc>
          <w:tcPr>
            <w:tcW w:w="1259" w:type="dxa"/>
            <w:vAlign w:val="center"/>
            <w:hideMark/>
          </w:tcPr>
          <w:p w14:paraId="762880C2"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-£47,800</w:t>
            </w:r>
          </w:p>
        </w:tc>
        <w:tc>
          <w:tcPr>
            <w:tcW w:w="1400" w:type="dxa"/>
            <w:vAlign w:val="center"/>
            <w:hideMark/>
          </w:tcPr>
          <w:p w14:paraId="0AE0976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£165,384</w:t>
            </w:r>
          </w:p>
        </w:tc>
        <w:tc>
          <w:tcPr>
            <w:tcW w:w="1260" w:type="dxa"/>
            <w:vAlign w:val="center"/>
            <w:hideMark/>
          </w:tcPr>
          <w:p w14:paraId="651D06E2"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£165,384</w:t>
            </w:r>
          </w:p>
        </w:tc>
        <w:tc>
          <w:tcPr>
            <w:tcW w:w="1259" w:type="dxa"/>
            <w:shd w:val="clear" w:color="auto" w:fill="D5DCE4" w:themeFill="text2" w:themeFillTint="33"/>
            <w:vAlign w:val="center"/>
            <w:hideMark/>
          </w:tcPr>
          <w:p w14:paraId="259DFC59"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£94,320</w:t>
            </w:r>
          </w:p>
          <w:p w14:paraId="38E6998E"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57211" w:rsidRPr="00CF5147" w14:paraId="6BE73F05" w14:textId="77777777" w:rsidTr="003C00F6">
        <w:trPr>
          <w:trHeight w:val="479"/>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6A3C8AC8" w14:textId="7431DAA0" w:rsidR="00D71CE1" w:rsidRPr="00757211" w:rsidRDefault="00D71CE1" w:rsidP="00C3372B">
            <w:pPr>
              <w:rPr>
                <w:b w:val="0"/>
                <w:bCs w:val="0"/>
                <w:sz w:val="18"/>
                <w:szCs w:val="18"/>
              </w:rPr>
            </w:pPr>
            <w:r w:rsidRPr="00CF5147">
              <w:rPr>
                <w:sz w:val="18"/>
                <w:szCs w:val="18"/>
              </w:rPr>
              <w:t>Surplus/Loss per LA with 16 members</w:t>
            </w:r>
          </w:p>
        </w:tc>
        <w:tc>
          <w:tcPr>
            <w:tcW w:w="1355" w:type="dxa"/>
            <w:vAlign w:val="center"/>
            <w:hideMark/>
          </w:tcPr>
          <w:p w14:paraId="2FA501A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£398,810</w:t>
            </w:r>
          </w:p>
        </w:tc>
        <w:tc>
          <w:tcPr>
            <w:tcW w:w="1226" w:type="dxa"/>
            <w:vAlign w:val="center"/>
            <w:hideMark/>
          </w:tcPr>
          <w:p w14:paraId="683CF72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£305,210</w:t>
            </w:r>
          </w:p>
        </w:tc>
        <w:tc>
          <w:tcPr>
            <w:tcW w:w="1260" w:type="dxa"/>
            <w:vAlign w:val="center"/>
            <w:hideMark/>
          </w:tcPr>
          <w:p w14:paraId="05E24F5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£258,410</w:t>
            </w:r>
          </w:p>
        </w:tc>
        <w:tc>
          <w:tcPr>
            <w:tcW w:w="1259" w:type="dxa"/>
            <w:vAlign w:val="center"/>
            <w:hideMark/>
          </w:tcPr>
          <w:p w14:paraId="560A6A9C"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-£74690</w:t>
            </w:r>
          </w:p>
        </w:tc>
        <w:tc>
          <w:tcPr>
            <w:tcW w:w="1400" w:type="dxa"/>
            <w:vAlign w:val="center"/>
            <w:hideMark/>
          </w:tcPr>
          <w:p w14:paraId="68A8D0BD"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£258,410</w:t>
            </w:r>
          </w:p>
        </w:tc>
        <w:tc>
          <w:tcPr>
            <w:tcW w:w="1260" w:type="dxa"/>
            <w:vAlign w:val="center"/>
            <w:hideMark/>
          </w:tcPr>
          <w:p w14:paraId="2F5CDC5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£258,410</w:t>
            </w:r>
          </w:p>
        </w:tc>
        <w:tc>
          <w:tcPr>
            <w:tcW w:w="1259" w:type="dxa"/>
            <w:shd w:val="clear" w:color="auto" w:fill="D5DCE4" w:themeFill="text2" w:themeFillTint="33"/>
            <w:vAlign w:val="center"/>
            <w:hideMark/>
          </w:tcPr>
          <w:p w14:paraId="187DF536"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£147,380</w:t>
            </w:r>
          </w:p>
          <w:p w14:paraId="3334D8E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0D721047"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57211" w:rsidRPr="00CF5147" w14:paraId="4FA5E1D4" w14:textId="77777777" w:rsidTr="003C00F6">
        <w:trPr>
          <w:trHeight w:val="557"/>
        </w:trPr>
        <w:tc>
          <w:tcPr>
            <w:cnfStyle w:val="001000000000" w:firstRow="0" w:lastRow="0" w:firstColumn="1" w:lastColumn="0" w:oddVBand="0" w:evenVBand="0" w:oddHBand="0" w:evenHBand="0" w:firstRowFirstColumn="0" w:firstRowLastColumn="0" w:lastRowFirstColumn="0" w:lastRowLastColumn="0"/>
            <w:tcW w:w="1898" w:type="dxa"/>
            <w:shd w:val="clear" w:color="auto" w:fill="E7E6E6" w:themeFill="background2"/>
            <w:vAlign w:val="center"/>
            <w:hideMark/>
          </w:tcPr>
          <w:p w14:paraId="68FC7276" w14:textId="379D1A6C" w:rsidR="00D71CE1" w:rsidRPr="00757211" w:rsidRDefault="00D71CE1" w:rsidP="00C3372B">
            <w:pPr>
              <w:rPr>
                <w:b w:val="0"/>
                <w:bCs w:val="0"/>
                <w:sz w:val="18"/>
                <w:szCs w:val="18"/>
              </w:rPr>
            </w:pPr>
            <w:r w:rsidRPr="00CF5147">
              <w:rPr>
                <w:sz w:val="18"/>
                <w:szCs w:val="18"/>
              </w:rPr>
              <w:t>Surplus/Loss per LA with 8 members</w:t>
            </w:r>
          </w:p>
        </w:tc>
        <w:tc>
          <w:tcPr>
            <w:tcW w:w="1355" w:type="dxa"/>
            <w:vAlign w:val="center"/>
            <w:hideMark/>
          </w:tcPr>
          <w:p w14:paraId="37C01819"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£797,625</w:t>
            </w:r>
          </w:p>
        </w:tc>
        <w:tc>
          <w:tcPr>
            <w:tcW w:w="1226" w:type="dxa"/>
            <w:vAlign w:val="center"/>
            <w:hideMark/>
          </w:tcPr>
          <w:p w14:paraId="5F693AE4"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£610,425</w:t>
            </w:r>
          </w:p>
        </w:tc>
        <w:tc>
          <w:tcPr>
            <w:tcW w:w="1260" w:type="dxa"/>
            <w:vAlign w:val="center"/>
            <w:hideMark/>
          </w:tcPr>
          <w:p w14:paraId="6305256D"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£516,825</w:t>
            </w:r>
          </w:p>
        </w:tc>
        <w:tc>
          <w:tcPr>
            <w:tcW w:w="1259" w:type="dxa"/>
            <w:vAlign w:val="center"/>
            <w:hideMark/>
          </w:tcPr>
          <w:p w14:paraId="5779B651"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-£149,375</w:t>
            </w:r>
          </w:p>
        </w:tc>
        <w:tc>
          <w:tcPr>
            <w:tcW w:w="1400" w:type="dxa"/>
            <w:vAlign w:val="center"/>
            <w:hideMark/>
          </w:tcPr>
          <w:p w14:paraId="73541498"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£516,825</w:t>
            </w:r>
          </w:p>
        </w:tc>
        <w:tc>
          <w:tcPr>
            <w:tcW w:w="1260" w:type="dxa"/>
            <w:vAlign w:val="center"/>
            <w:hideMark/>
          </w:tcPr>
          <w:p w14:paraId="7BA6FCE2"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£516,825</w:t>
            </w:r>
          </w:p>
        </w:tc>
        <w:tc>
          <w:tcPr>
            <w:tcW w:w="1259" w:type="dxa"/>
            <w:shd w:val="clear" w:color="auto" w:fill="D5DCE4" w:themeFill="text2" w:themeFillTint="33"/>
            <w:vAlign w:val="center"/>
            <w:hideMark/>
          </w:tcPr>
          <w:p w14:paraId="50405912" w14:textId="77777777" w:rsidR="00D71CE1" w:rsidRPr="00CF5147" w:rsidRDefault="00D71CE1" w:rsidP="003C00F6">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5147">
              <w:rPr>
                <w:sz w:val="18"/>
                <w:szCs w:val="18"/>
              </w:rPr>
              <w:t>£294,760</w:t>
            </w:r>
          </w:p>
        </w:tc>
      </w:tr>
    </w:tbl>
    <w:p w14:paraId="158F52EC" w14:textId="77777777" w:rsidR="00D71CE1" w:rsidRDefault="00D71CE1" w:rsidP="00D71CE1">
      <w:pPr>
        <w:rPr>
          <w:color w:val="000000"/>
          <w:sz w:val="24"/>
          <w:szCs w:val="24"/>
        </w:rPr>
      </w:pPr>
    </w:p>
    <w:p w14:paraId="366CF7E9" w14:textId="77777777" w:rsidR="00D71CE1" w:rsidRPr="00A43903" w:rsidRDefault="00D71CE1" w:rsidP="00D71CE1">
      <w:pPr>
        <w:pStyle w:val="ListParagraph"/>
        <w:numPr>
          <w:ilvl w:val="0"/>
          <w:numId w:val="1"/>
        </w:numPr>
        <w:spacing w:after="0" w:line="240" w:lineRule="auto"/>
        <w:rPr>
          <w:b/>
          <w:bCs/>
          <w:sz w:val="24"/>
          <w:szCs w:val="24"/>
          <w:u w:val="single"/>
        </w:rPr>
      </w:pPr>
      <w:r w:rsidRPr="00A43903">
        <w:rPr>
          <w:b/>
          <w:bCs/>
          <w:sz w:val="24"/>
          <w:szCs w:val="24"/>
          <w:u w:val="single"/>
        </w:rPr>
        <w:t>Break Even Costs</w:t>
      </w:r>
    </w:p>
    <w:p w14:paraId="0D6F66C3" w14:textId="77777777" w:rsidR="00D71CE1" w:rsidRPr="00A43903" w:rsidRDefault="00D71CE1" w:rsidP="00D71CE1">
      <w:pPr>
        <w:rPr>
          <w:sz w:val="24"/>
          <w:szCs w:val="24"/>
        </w:rPr>
      </w:pPr>
    </w:p>
    <w:p w14:paraId="163DB151" w14:textId="10B1AFED" w:rsidR="00D71CE1" w:rsidRDefault="00D71CE1" w:rsidP="00236F07">
      <w:pPr>
        <w:jc w:val="both"/>
        <w:rPr>
          <w:color w:val="000000"/>
          <w:sz w:val="24"/>
          <w:szCs w:val="24"/>
        </w:rPr>
      </w:pPr>
      <w:r w:rsidRPr="00A43903">
        <w:rPr>
          <w:color w:val="000000"/>
          <w:sz w:val="24"/>
          <w:szCs w:val="24"/>
        </w:rPr>
        <w:t xml:space="preserve">The below graph demonstrates the weekly placement price the SCH would have to charge to break even at different levels of occupancy. </w:t>
      </w:r>
      <w:r>
        <w:rPr>
          <w:color w:val="000000"/>
          <w:sz w:val="24"/>
          <w:szCs w:val="24"/>
        </w:rPr>
        <w:t xml:space="preserve">This includes covering the costs of the PLV and secure transport. </w:t>
      </w:r>
      <w:r w:rsidRPr="00A43903">
        <w:rPr>
          <w:color w:val="000000"/>
          <w:sz w:val="24"/>
          <w:szCs w:val="24"/>
        </w:rPr>
        <w:t xml:space="preserve">We can see that at below roughly </w:t>
      </w:r>
      <w:r>
        <w:rPr>
          <w:color w:val="000000"/>
          <w:sz w:val="24"/>
          <w:szCs w:val="24"/>
        </w:rPr>
        <w:t>7</w:t>
      </w:r>
      <w:r w:rsidRPr="00A43903">
        <w:rPr>
          <w:color w:val="000000"/>
          <w:sz w:val="24"/>
          <w:szCs w:val="24"/>
        </w:rPr>
        <w:t>0% occupancy, the cost of a week placement in the secure children’s home needed for the home to break even rises above £1000. Of course, the running costs of the SCH will change with the number of children who are housed there, as staffing and food costs will vary. Therefore, we can expect that this model significantly overestimates the week-placement costs needed to break even at lower rates of occupancy.</w:t>
      </w:r>
    </w:p>
    <w:p w14:paraId="0BB6DD9C" w14:textId="258F11C2" w:rsidR="00236F07" w:rsidRPr="00236F07" w:rsidRDefault="00236F07" w:rsidP="00236F07">
      <w:pPr>
        <w:jc w:val="both"/>
        <w:rPr>
          <w:color w:val="000000"/>
          <w:sz w:val="24"/>
          <w:szCs w:val="24"/>
        </w:rPr>
      </w:pPr>
      <w:r>
        <w:rPr>
          <w:noProof/>
          <w:lang w:eastAsia="en-GB"/>
        </w:rPr>
        <w:drawing>
          <wp:inline distT="0" distB="0" distL="0" distR="0" wp14:anchorId="7CA8FEA3" wp14:editId="7A3DB822">
            <wp:extent cx="5717993" cy="2830195"/>
            <wp:effectExtent l="0" t="0" r="10160" b="14605"/>
            <wp:docPr id="34" name="Chart 34">
              <a:extLst xmlns:a="http://schemas.openxmlformats.org/drawingml/2006/main">
                <a:ext uri="{FF2B5EF4-FFF2-40B4-BE49-F238E27FC236}">
                  <a16:creationId xmlns:a16="http://schemas.microsoft.com/office/drawing/2014/main" id="{E5E5623D-4BE0-4ED6-87D8-5D345985E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D0A72A" w14:textId="5DE9EBCA" w:rsidR="00D71CE1" w:rsidRDefault="00D71CE1" w:rsidP="00D71CE1"/>
    <w:p w14:paraId="7DA9CBAC" w14:textId="77777777" w:rsidR="00D71CE1" w:rsidRDefault="00D71CE1" w:rsidP="00D71CE1">
      <w:pPr>
        <w:spacing w:before="100" w:beforeAutospacing="1" w:after="100" w:afterAutospacing="1"/>
        <w:rPr>
          <w:color w:val="000000"/>
          <w:sz w:val="24"/>
          <w:szCs w:val="24"/>
        </w:rPr>
      </w:pPr>
      <w:r>
        <w:rPr>
          <w:color w:val="000000"/>
          <w:sz w:val="24"/>
          <w:szCs w:val="24"/>
        </w:rPr>
        <w:t>The exact break-even weekly placement prices are shown in the table below, rounded to the nearest £10.</w:t>
      </w:r>
    </w:p>
    <w:tbl>
      <w:tblPr>
        <w:tblStyle w:val="GridTable1Light-Accent5"/>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tblGrid>
      <w:tr w:rsidR="00D71CE1" w:rsidRPr="00D204B2" w14:paraId="63193812" w14:textId="77777777" w:rsidTr="00236F07">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shd w:val="clear" w:color="auto" w:fill="D5DCE4" w:themeFill="text2" w:themeFillTint="33"/>
            <w:hideMark/>
          </w:tcPr>
          <w:p w14:paraId="75F78862" w14:textId="77777777" w:rsidR="00D71CE1" w:rsidRPr="00D204B2" w:rsidRDefault="00D71CE1" w:rsidP="0041018F">
            <w:r w:rsidRPr="00D204B2">
              <w:lastRenderedPageBreak/>
              <w:t>Occupancy</w:t>
            </w:r>
          </w:p>
        </w:tc>
        <w:tc>
          <w:tcPr>
            <w:tcW w:w="2977" w:type="dxa"/>
            <w:tcBorders>
              <w:bottom w:val="none" w:sz="0" w:space="0" w:color="auto"/>
            </w:tcBorders>
            <w:shd w:val="clear" w:color="auto" w:fill="D5DCE4" w:themeFill="text2" w:themeFillTint="33"/>
            <w:hideMark/>
          </w:tcPr>
          <w:p w14:paraId="3437FE08" w14:textId="77777777" w:rsidR="00D71CE1" w:rsidRPr="00D204B2" w:rsidRDefault="00D71CE1" w:rsidP="0041018F">
            <w:pPr>
              <w:cnfStyle w:val="100000000000" w:firstRow="1" w:lastRow="0" w:firstColumn="0" w:lastColumn="0" w:oddVBand="0" w:evenVBand="0" w:oddHBand="0" w:evenHBand="0" w:firstRowFirstColumn="0" w:firstRowLastColumn="0" w:lastRowFirstColumn="0" w:lastRowLastColumn="0"/>
            </w:pPr>
            <w:r w:rsidRPr="00D204B2">
              <w:t>Break Even Placement Price</w:t>
            </w:r>
          </w:p>
        </w:tc>
      </w:tr>
      <w:tr w:rsidR="00D71CE1" w:rsidRPr="00D204B2" w14:paraId="1F9E8926" w14:textId="77777777" w:rsidTr="00C3372B">
        <w:trPr>
          <w:trHeight w:val="235"/>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5988E919" w14:textId="77777777" w:rsidR="00D71CE1" w:rsidRPr="00D204B2" w:rsidRDefault="00D71CE1" w:rsidP="0041018F">
            <w:pPr>
              <w:jc w:val="right"/>
              <w:rPr>
                <w:b w:val="0"/>
                <w:bCs w:val="0"/>
              </w:rPr>
            </w:pPr>
            <w:r>
              <w:t>10%</w:t>
            </w:r>
          </w:p>
        </w:tc>
        <w:tc>
          <w:tcPr>
            <w:tcW w:w="2977" w:type="dxa"/>
            <w:hideMark/>
          </w:tcPr>
          <w:p w14:paraId="746346C2"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68</w:t>
            </w:r>
            <w:r>
              <w:t>,</w:t>
            </w:r>
            <w:r w:rsidRPr="00D204B2">
              <w:t>870</w:t>
            </w:r>
          </w:p>
        </w:tc>
      </w:tr>
      <w:tr w:rsidR="00D71CE1" w:rsidRPr="00D204B2" w14:paraId="74E715E9" w14:textId="77777777" w:rsidTr="00C3372B">
        <w:trPr>
          <w:trHeight w:val="311"/>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20003645" w14:textId="77777777" w:rsidR="00D71CE1" w:rsidRPr="00D204B2" w:rsidRDefault="00D71CE1" w:rsidP="0041018F">
            <w:pPr>
              <w:jc w:val="right"/>
            </w:pPr>
            <w:r>
              <w:t>20%</w:t>
            </w:r>
          </w:p>
        </w:tc>
        <w:tc>
          <w:tcPr>
            <w:tcW w:w="2977" w:type="dxa"/>
            <w:hideMark/>
          </w:tcPr>
          <w:p w14:paraId="432EC923"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34</w:t>
            </w:r>
            <w:r>
              <w:t>,</w:t>
            </w:r>
            <w:r w:rsidRPr="00D204B2">
              <w:t>4</w:t>
            </w:r>
            <w:r>
              <w:t>40</w:t>
            </w:r>
          </w:p>
        </w:tc>
      </w:tr>
      <w:tr w:rsidR="00D71CE1" w:rsidRPr="00D204B2" w14:paraId="6169CAB1"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60406F73" w14:textId="77777777" w:rsidR="00D71CE1" w:rsidRPr="00D204B2" w:rsidRDefault="00D71CE1" w:rsidP="0041018F">
            <w:pPr>
              <w:jc w:val="right"/>
            </w:pPr>
            <w:r>
              <w:t>30%</w:t>
            </w:r>
          </w:p>
        </w:tc>
        <w:tc>
          <w:tcPr>
            <w:tcW w:w="2977" w:type="dxa"/>
            <w:hideMark/>
          </w:tcPr>
          <w:p w14:paraId="23006685"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22</w:t>
            </w:r>
            <w:r>
              <w:t>,</w:t>
            </w:r>
            <w:r w:rsidRPr="00D204B2">
              <w:t>9</w:t>
            </w:r>
            <w:r>
              <w:t>60</w:t>
            </w:r>
          </w:p>
        </w:tc>
      </w:tr>
      <w:tr w:rsidR="00D71CE1" w:rsidRPr="00D204B2" w14:paraId="56E9BB5B"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3291C1FE" w14:textId="77777777" w:rsidR="00D71CE1" w:rsidRPr="00D204B2" w:rsidRDefault="00D71CE1" w:rsidP="0041018F">
            <w:pPr>
              <w:jc w:val="right"/>
            </w:pPr>
            <w:r>
              <w:t>40%</w:t>
            </w:r>
          </w:p>
        </w:tc>
        <w:tc>
          <w:tcPr>
            <w:tcW w:w="2977" w:type="dxa"/>
            <w:hideMark/>
          </w:tcPr>
          <w:p w14:paraId="1CCBF103"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17</w:t>
            </w:r>
            <w:r>
              <w:t>,</w:t>
            </w:r>
            <w:r w:rsidRPr="00D204B2">
              <w:t>2</w:t>
            </w:r>
            <w:r>
              <w:t>20</w:t>
            </w:r>
          </w:p>
        </w:tc>
      </w:tr>
      <w:tr w:rsidR="00D71CE1" w:rsidRPr="00D204B2" w14:paraId="408A9A85"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5FC585E5" w14:textId="77777777" w:rsidR="00D71CE1" w:rsidRPr="00D204B2" w:rsidRDefault="00D71CE1" w:rsidP="0041018F">
            <w:pPr>
              <w:jc w:val="right"/>
            </w:pPr>
            <w:r>
              <w:t>50%</w:t>
            </w:r>
          </w:p>
        </w:tc>
        <w:tc>
          <w:tcPr>
            <w:tcW w:w="2977" w:type="dxa"/>
            <w:hideMark/>
          </w:tcPr>
          <w:p w14:paraId="37AE9B5A"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13</w:t>
            </w:r>
            <w:r>
              <w:t>,</w:t>
            </w:r>
            <w:r w:rsidRPr="00D204B2">
              <w:t>77</w:t>
            </w:r>
            <w:r>
              <w:t>0</w:t>
            </w:r>
          </w:p>
        </w:tc>
      </w:tr>
      <w:tr w:rsidR="00D71CE1" w:rsidRPr="00D204B2" w14:paraId="614E7178"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2056BD74" w14:textId="77777777" w:rsidR="00D71CE1" w:rsidRPr="00D204B2" w:rsidRDefault="00D71CE1" w:rsidP="0041018F">
            <w:pPr>
              <w:jc w:val="right"/>
              <w:rPr>
                <w:b w:val="0"/>
                <w:bCs w:val="0"/>
              </w:rPr>
            </w:pPr>
            <w:r>
              <w:t>60%</w:t>
            </w:r>
          </w:p>
        </w:tc>
        <w:tc>
          <w:tcPr>
            <w:tcW w:w="2977" w:type="dxa"/>
            <w:hideMark/>
          </w:tcPr>
          <w:p w14:paraId="3AAEDC83"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11</w:t>
            </w:r>
            <w:r>
              <w:t>,</w:t>
            </w:r>
            <w:r w:rsidRPr="00D204B2">
              <w:t>4</w:t>
            </w:r>
            <w:r>
              <w:t>80</w:t>
            </w:r>
          </w:p>
        </w:tc>
      </w:tr>
      <w:tr w:rsidR="00D71CE1" w:rsidRPr="00D204B2" w14:paraId="1F1F2BEC"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1963E74E" w14:textId="77777777" w:rsidR="00D71CE1" w:rsidRPr="00D204B2" w:rsidRDefault="00D71CE1" w:rsidP="0041018F">
            <w:pPr>
              <w:jc w:val="right"/>
            </w:pPr>
            <w:r>
              <w:t>70%</w:t>
            </w:r>
          </w:p>
        </w:tc>
        <w:tc>
          <w:tcPr>
            <w:tcW w:w="2977" w:type="dxa"/>
            <w:hideMark/>
          </w:tcPr>
          <w:p w14:paraId="28AD6597"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9</w:t>
            </w:r>
            <w:r>
              <w:t>,</w:t>
            </w:r>
            <w:r w:rsidRPr="00D204B2">
              <w:t>8</w:t>
            </w:r>
            <w:r>
              <w:t>40</w:t>
            </w:r>
          </w:p>
        </w:tc>
      </w:tr>
      <w:tr w:rsidR="00D71CE1" w:rsidRPr="00D204B2" w14:paraId="318716B0"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09E4BCF4" w14:textId="77777777" w:rsidR="00D71CE1" w:rsidRPr="00D204B2" w:rsidRDefault="00D71CE1" w:rsidP="0041018F">
            <w:pPr>
              <w:jc w:val="right"/>
            </w:pPr>
            <w:r>
              <w:t>80%</w:t>
            </w:r>
          </w:p>
        </w:tc>
        <w:tc>
          <w:tcPr>
            <w:tcW w:w="2977" w:type="dxa"/>
            <w:hideMark/>
          </w:tcPr>
          <w:p w14:paraId="2731834E"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8</w:t>
            </w:r>
            <w:r>
              <w:t>,</w:t>
            </w:r>
            <w:r w:rsidRPr="00D204B2">
              <w:t>6</w:t>
            </w:r>
            <w:r>
              <w:t>10</w:t>
            </w:r>
          </w:p>
        </w:tc>
      </w:tr>
      <w:tr w:rsidR="00D71CE1" w:rsidRPr="00D204B2" w14:paraId="06172D18"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267E1F21" w14:textId="77777777" w:rsidR="00D71CE1" w:rsidRPr="00D204B2" w:rsidRDefault="00D71CE1" w:rsidP="0041018F">
            <w:pPr>
              <w:jc w:val="right"/>
            </w:pPr>
            <w:r>
              <w:t>90%</w:t>
            </w:r>
          </w:p>
        </w:tc>
        <w:tc>
          <w:tcPr>
            <w:tcW w:w="2977" w:type="dxa"/>
            <w:hideMark/>
          </w:tcPr>
          <w:p w14:paraId="4F7CE983"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7</w:t>
            </w:r>
            <w:r>
              <w:t>,</w:t>
            </w:r>
            <w:r w:rsidRPr="00D204B2">
              <w:t>65</w:t>
            </w:r>
            <w:r>
              <w:t>0</w:t>
            </w:r>
          </w:p>
        </w:tc>
      </w:tr>
      <w:tr w:rsidR="00D71CE1" w:rsidRPr="00D204B2" w14:paraId="1601C005" w14:textId="77777777" w:rsidTr="00C3372B">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4229B7C7" w14:textId="77777777" w:rsidR="00D71CE1" w:rsidRPr="00D204B2" w:rsidRDefault="00D71CE1" w:rsidP="0041018F">
            <w:pPr>
              <w:jc w:val="right"/>
            </w:pPr>
            <w:r w:rsidRPr="00D204B2">
              <w:t>1</w:t>
            </w:r>
            <w:r>
              <w:t>00%</w:t>
            </w:r>
          </w:p>
        </w:tc>
        <w:tc>
          <w:tcPr>
            <w:tcW w:w="2977" w:type="dxa"/>
            <w:hideMark/>
          </w:tcPr>
          <w:p w14:paraId="557C20C3" w14:textId="77777777" w:rsidR="00D71CE1" w:rsidRPr="00D204B2" w:rsidRDefault="00D71CE1" w:rsidP="0041018F">
            <w:pPr>
              <w:jc w:val="right"/>
              <w:cnfStyle w:val="000000000000" w:firstRow="0" w:lastRow="0" w:firstColumn="0" w:lastColumn="0" w:oddVBand="0" w:evenVBand="0" w:oddHBand="0" w:evenHBand="0" w:firstRowFirstColumn="0" w:firstRowLastColumn="0" w:lastRowFirstColumn="0" w:lastRowLastColumn="0"/>
            </w:pPr>
            <w:r>
              <w:t>£</w:t>
            </w:r>
            <w:r w:rsidRPr="00D204B2">
              <w:t>6</w:t>
            </w:r>
            <w:r>
              <w:t>,</w:t>
            </w:r>
            <w:r w:rsidRPr="00D204B2">
              <w:t>8</w:t>
            </w:r>
            <w:r>
              <w:t>90</w:t>
            </w:r>
          </w:p>
        </w:tc>
      </w:tr>
    </w:tbl>
    <w:p w14:paraId="7849767C" w14:textId="26C4979C" w:rsidR="00757211" w:rsidRDefault="00757211" w:rsidP="00D71CE1"/>
    <w:p w14:paraId="50476D17" w14:textId="0A16AB02" w:rsidR="00D71CE1" w:rsidRDefault="00D71CE1" w:rsidP="00D71CE1">
      <w:pPr>
        <w:spacing w:after="160" w:line="259" w:lineRule="auto"/>
        <w:rPr>
          <w:b/>
          <w:bCs/>
          <w:sz w:val="24"/>
          <w:szCs w:val="24"/>
          <w:u w:val="single"/>
        </w:rPr>
      </w:pPr>
      <w:r w:rsidRPr="00E76126">
        <w:rPr>
          <w:b/>
          <w:bCs/>
          <w:sz w:val="24"/>
          <w:szCs w:val="24"/>
          <w:u w:val="single"/>
        </w:rPr>
        <w:t>Cost of PLV</w:t>
      </w:r>
    </w:p>
    <w:p w14:paraId="7384AD6F" w14:textId="7EFDD6AB" w:rsidR="00D71CE1" w:rsidRPr="00236F07" w:rsidRDefault="00236F07" w:rsidP="00236F07">
      <w:pPr>
        <w:spacing w:after="160" w:line="259" w:lineRule="auto"/>
        <w:rPr>
          <w:color w:val="000000"/>
          <w:sz w:val="28"/>
          <w:szCs w:val="28"/>
        </w:rPr>
      </w:pPr>
      <w:r>
        <w:rPr>
          <w:noProof/>
          <w:lang w:eastAsia="en-GB"/>
        </w:rPr>
        <w:drawing>
          <wp:anchor distT="0" distB="0" distL="114300" distR="114300" simplePos="0" relativeHeight="251661312" behindDoc="1" locked="0" layoutInCell="1" allowOverlap="1" wp14:anchorId="6DC90423" wp14:editId="16394648">
            <wp:simplePos x="0" y="0"/>
            <wp:positionH relativeFrom="column">
              <wp:posOffset>106680</wp:posOffset>
            </wp:positionH>
            <wp:positionV relativeFrom="paragraph">
              <wp:posOffset>431800</wp:posOffset>
            </wp:positionV>
            <wp:extent cx="5184140" cy="3409950"/>
            <wp:effectExtent l="0" t="0" r="0" b="6350"/>
            <wp:wrapTight wrapText="bothSides">
              <wp:wrapPolygon edited="0">
                <wp:start x="0" y="0"/>
                <wp:lineTo x="0" y="21560"/>
                <wp:lineTo x="21537" y="21560"/>
                <wp:lineTo x="21537" y="0"/>
                <wp:lineTo x="0" y="0"/>
              </wp:wrapPolygon>
            </wp:wrapTight>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8779" t="17144" r="22558" b="11625"/>
                    <a:stretch/>
                  </pic:blipFill>
                  <pic:spPr bwMode="auto">
                    <a:xfrm>
                      <a:off x="0" y="0"/>
                      <a:ext cx="5184140" cy="340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1CE1">
        <w:rPr>
          <w:sz w:val="24"/>
          <w:szCs w:val="24"/>
        </w:rPr>
        <w:t>These estimates are taken from the NEL business case. We have included an updated cost for 2022.</w:t>
      </w:r>
    </w:p>
    <w:p w14:paraId="43FE76BB" w14:textId="4C0887DF" w:rsidR="00D71CE1" w:rsidRDefault="00D71CE1" w:rsidP="00D71CE1"/>
    <w:p w14:paraId="141DC412" w14:textId="112BAAFE" w:rsidR="00D71CE1" w:rsidRDefault="00D71CE1" w:rsidP="00D71CE1"/>
    <w:p w14:paraId="54F79BBD" w14:textId="77777777" w:rsidR="00D71CE1" w:rsidRDefault="00D71CE1" w:rsidP="00D71CE1"/>
    <w:p w14:paraId="3A1E7A27" w14:textId="77777777" w:rsidR="00D71CE1" w:rsidRDefault="00D71CE1" w:rsidP="00D71CE1"/>
    <w:p w14:paraId="3E40F180" w14:textId="77777777" w:rsidR="00D71CE1" w:rsidRDefault="00D71CE1" w:rsidP="00D71CE1"/>
    <w:p w14:paraId="5C7D9257" w14:textId="77777777" w:rsidR="00D71CE1" w:rsidRDefault="00D71CE1" w:rsidP="00D71CE1"/>
    <w:p w14:paraId="58640173" w14:textId="77777777" w:rsidR="00D71CE1" w:rsidRDefault="00D71CE1" w:rsidP="00D71CE1"/>
    <w:p w14:paraId="0F987D8F" w14:textId="77777777" w:rsidR="00D71CE1" w:rsidRDefault="00D71CE1" w:rsidP="00D71CE1"/>
    <w:p w14:paraId="68159630" w14:textId="77777777" w:rsidR="00D71CE1" w:rsidRDefault="00D71CE1" w:rsidP="00D71CE1"/>
    <w:p w14:paraId="6C624790" w14:textId="588E3EC9" w:rsidR="00D71CE1" w:rsidRDefault="00D71CE1" w:rsidP="00D71CE1"/>
    <w:p w14:paraId="640B98A2" w14:textId="3F62CB3E" w:rsidR="00236F07" w:rsidRDefault="00236F07" w:rsidP="00D71CE1"/>
    <w:p w14:paraId="3B565F81" w14:textId="77777777" w:rsidR="00236F07" w:rsidRDefault="00236F07" w:rsidP="00D71CE1"/>
    <w:tbl>
      <w:tblPr>
        <w:tblStyle w:val="TableGrid"/>
        <w:tblpPr w:leftFromText="180" w:rightFromText="180" w:vertAnchor="text" w:horzAnchor="margin" w:tblpY="8"/>
        <w:tblW w:w="0" w:type="auto"/>
        <w:tblLook w:val="04A0" w:firstRow="1" w:lastRow="0" w:firstColumn="1" w:lastColumn="0" w:noHBand="0" w:noVBand="1"/>
      </w:tblPr>
      <w:tblGrid>
        <w:gridCol w:w="2851"/>
        <w:gridCol w:w="1583"/>
        <w:gridCol w:w="1741"/>
        <w:gridCol w:w="2377"/>
      </w:tblGrid>
      <w:tr w:rsidR="00236F07" w14:paraId="449A8E8B" w14:textId="77777777" w:rsidTr="00236F07">
        <w:trPr>
          <w:trHeight w:val="350"/>
        </w:trPr>
        <w:tc>
          <w:tcPr>
            <w:tcW w:w="2851" w:type="dxa"/>
            <w:shd w:val="clear" w:color="auto" w:fill="D5DCE4" w:themeFill="text2" w:themeFillTint="33"/>
            <w:vAlign w:val="center"/>
          </w:tcPr>
          <w:p w14:paraId="5AD1861A" w14:textId="77777777" w:rsidR="00236F07" w:rsidRPr="00236F07" w:rsidRDefault="00236F07" w:rsidP="00236F07">
            <w:pPr>
              <w:jc w:val="center"/>
              <w:rPr>
                <w:b/>
                <w:bCs/>
              </w:rPr>
            </w:pPr>
            <w:r w:rsidRPr="00236F07">
              <w:rPr>
                <w:b/>
                <w:bCs/>
              </w:rPr>
              <w:t>Totals in 2022 (CPI)</w:t>
            </w:r>
          </w:p>
        </w:tc>
        <w:tc>
          <w:tcPr>
            <w:tcW w:w="1583" w:type="dxa"/>
            <w:vAlign w:val="center"/>
          </w:tcPr>
          <w:p w14:paraId="3312706F" w14:textId="77777777" w:rsidR="00236F07" w:rsidRDefault="00236F07" w:rsidP="00236F07">
            <w:pPr>
              <w:jc w:val="center"/>
            </w:pPr>
            <w:r>
              <w:t>£81,187</w:t>
            </w:r>
          </w:p>
        </w:tc>
        <w:tc>
          <w:tcPr>
            <w:tcW w:w="1741" w:type="dxa"/>
            <w:vAlign w:val="center"/>
          </w:tcPr>
          <w:p w14:paraId="657015C2" w14:textId="34B27488" w:rsidR="00236F07" w:rsidRDefault="00236F07" w:rsidP="00236F07">
            <w:pPr>
              <w:jc w:val="center"/>
            </w:pPr>
            <w:r>
              <w:t>£433,00</w:t>
            </w:r>
          </w:p>
        </w:tc>
        <w:tc>
          <w:tcPr>
            <w:tcW w:w="2377" w:type="dxa"/>
            <w:vAlign w:val="center"/>
          </w:tcPr>
          <w:p w14:paraId="17FF9F9A" w14:textId="77777777" w:rsidR="00236F07" w:rsidRDefault="00236F07" w:rsidP="00236F07">
            <w:pPr>
              <w:jc w:val="center"/>
            </w:pPr>
            <w:r>
              <w:t>£514,819</w:t>
            </w:r>
          </w:p>
        </w:tc>
      </w:tr>
    </w:tbl>
    <w:p w14:paraId="211624D1" w14:textId="77777777" w:rsidR="00D71CE1" w:rsidRPr="0049308D" w:rsidRDefault="00D71CE1" w:rsidP="00D71CE1">
      <w:pPr>
        <w:jc w:val="both"/>
        <w:rPr>
          <w:b/>
          <w:bCs/>
        </w:rPr>
      </w:pPr>
    </w:p>
    <w:p w14:paraId="26713043" w14:textId="77777777" w:rsidR="00B7016F" w:rsidRDefault="00AB69F2"/>
    <w:sectPr w:rsidR="00B7016F" w:rsidSect="00A02F76">
      <w:headerReference w:type="even" r:id="rId14"/>
      <w:headerReference w:type="default" r:id="rId15"/>
      <w:footerReference w:type="even" r:id="rId16"/>
      <w:footerReference w:type="default" r:id="rId17"/>
      <w:headerReference w:type="first" r:id="rId18"/>
      <w:footerReference w:type="first" r:id="rId19"/>
      <w:pgSz w:w="11900" w:h="16840"/>
      <w:pgMar w:top="852" w:right="1440" w:bottom="5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44C8" w14:textId="77777777" w:rsidR="00AC4E53" w:rsidRDefault="00AC4E53" w:rsidP="003501B6">
      <w:pPr>
        <w:spacing w:after="0" w:line="240" w:lineRule="auto"/>
      </w:pPr>
      <w:r>
        <w:separator/>
      </w:r>
    </w:p>
  </w:endnote>
  <w:endnote w:type="continuationSeparator" w:id="0">
    <w:p w14:paraId="12078BD6" w14:textId="77777777" w:rsidR="00AC4E53" w:rsidRDefault="00AC4E53" w:rsidP="0035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09BE" w14:textId="77777777" w:rsidR="003501B6" w:rsidRDefault="00350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D454" w14:textId="77777777" w:rsidR="003501B6" w:rsidRDefault="00350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E56F" w14:textId="77777777" w:rsidR="003501B6" w:rsidRDefault="0035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1524" w14:textId="77777777" w:rsidR="00AC4E53" w:rsidRDefault="00AC4E53" w:rsidP="003501B6">
      <w:pPr>
        <w:spacing w:after="0" w:line="240" w:lineRule="auto"/>
      </w:pPr>
      <w:r>
        <w:separator/>
      </w:r>
    </w:p>
  </w:footnote>
  <w:footnote w:type="continuationSeparator" w:id="0">
    <w:p w14:paraId="0A69CA4F" w14:textId="77777777" w:rsidR="00AC4E53" w:rsidRDefault="00AC4E53" w:rsidP="0035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9D32" w14:textId="2A58ECA8" w:rsidR="003501B6" w:rsidRDefault="00350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0759" w14:textId="307BBE00" w:rsidR="003501B6" w:rsidRDefault="00350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8E46" w14:textId="27F2D819" w:rsidR="003501B6" w:rsidRDefault="00350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EF2"/>
    <w:multiLevelType w:val="hybridMultilevel"/>
    <w:tmpl w:val="EDAA2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E1"/>
    <w:rsid w:val="0017462C"/>
    <w:rsid w:val="001A327D"/>
    <w:rsid w:val="001A731C"/>
    <w:rsid w:val="001B075C"/>
    <w:rsid w:val="001E190A"/>
    <w:rsid w:val="0022399E"/>
    <w:rsid w:val="00236F07"/>
    <w:rsid w:val="003014EC"/>
    <w:rsid w:val="00341746"/>
    <w:rsid w:val="003501B6"/>
    <w:rsid w:val="003C00F6"/>
    <w:rsid w:val="00456C6B"/>
    <w:rsid w:val="004907F4"/>
    <w:rsid w:val="005006BD"/>
    <w:rsid w:val="00532145"/>
    <w:rsid w:val="005401CE"/>
    <w:rsid w:val="00551C4F"/>
    <w:rsid w:val="005A0E73"/>
    <w:rsid w:val="00696FBA"/>
    <w:rsid w:val="00757211"/>
    <w:rsid w:val="00885137"/>
    <w:rsid w:val="008C1D06"/>
    <w:rsid w:val="00A02F76"/>
    <w:rsid w:val="00A60E5C"/>
    <w:rsid w:val="00AB69F2"/>
    <w:rsid w:val="00AC4E53"/>
    <w:rsid w:val="00B27092"/>
    <w:rsid w:val="00B937DE"/>
    <w:rsid w:val="00C21C33"/>
    <w:rsid w:val="00C3372B"/>
    <w:rsid w:val="00CC4E84"/>
    <w:rsid w:val="00CC7063"/>
    <w:rsid w:val="00CF5147"/>
    <w:rsid w:val="00D71CE1"/>
    <w:rsid w:val="00D82424"/>
    <w:rsid w:val="00E97F4B"/>
    <w:rsid w:val="00EA3083"/>
    <w:rsid w:val="00EE0A1C"/>
    <w:rsid w:val="00F32102"/>
    <w:rsid w:val="00F35119"/>
    <w:rsid w:val="00F75328"/>
    <w:rsid w:val="00FD1381"/>
    <w:rsid w:val="00FF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161B2"/>
  <w14:defaultImageDpi w14:val="32767"/>
  <w15:chartTrackingRefBased/>
  <w15:docId w15:val="{CD60EA0B-A735-1545-9952-08452FAA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E1"/>
    <w:pPr>
      <w:spacing w:after="200" w:line="276"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paras">
    <w:name w:val="report text paras"/>
    <w:basedOn w:val="Normal"/>
    <w:next w:val="Normal"/>
    <w:rsid w:val="00D71CE1"/>
    <w:pPr>
      <w:autoSpaceDE w:val="0"/>
      <w:autoSpaceDN w:val="0"/>
      <w:adjustRightInd w:val="0"/>
    </w:pPr>
    <w:rPr>
      <w:sz w:val="24"/>
      <w:szCs w:val="24"/>
      <w:lang w:val="en-US"/>
    </w:rPr>
  </w:style>
  <w:style w:type="paragraph" w:styleId="ListParagraph">
    <w:name w:val="List Paragraph"/>
    <w:basedOn w:val="Normal"/>
    <w:uiPriority w:val="34"/>
    <w:qFormat/>
    <w:rsid w:val="00D71CE1"/>
    <w:pPr>
      <w:ind w:left="720"/>
      <w:contextualSpacing/>
    </w:pPr>
  </w:style>
  <w:style w:type="table" w:styleId="TableGrid">
    <w:name w:val="Table Grid"/>
    <w:basedOn w:val="TableNormal"/>
    <w:uiPriority w:val="39"/>
    <w:rsid w:val="00D71C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71CE1"/>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1CE1"/>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1B6"/>
    <w:rPr>
      <w:rFonts w:ascii="Arial" w:eastAsia="Times New Roman" w:hAnsi="Arial" w:cs="Times New Roman"/>
      <w:sz w:val="20"/>
      <w:szCs w:val="20"/>
    </w:rPr>
  </w:style>
  <w:style w:type="paragraph" w:styleId="Footer">
    <w:name w:val="footer"/>
    <w:basedOn w:val="Normal"/>
    <w:link w:val="FooterChar"/>
    <w:uiPriority w:val="99"/>
    <w:unhideWhenUsed/>
    <w:rsid w:val="0035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1B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F32102"/>
    <w:rPr>
      <w:sz w:val="16"/>
      <w:szCs w:val="16"/>
    </w:rPr>
  </w:style>
  <w:style w:type="paragraph" w:styleId="CommentText">
    <w:name w:val="annotation text"/>
    <w:basedOn w:val="Normal"/>
    <w:link w:val="CommentTextChar"/>
    <w:uiPriority w:val="99"/>
    <w:semiHidden/>
    <w:unhideWhenUsed/>
    <w:rsid w:val="00F32102"/>
    <w:pPr>
      <w:spacing w:line="240" w:lineRule="auto"/>
    </w:pPr>
  </w:style>
  <w:style w:type="character" w:customStyle="1" w:styleId="CommentTextChar">
    <w:name w:val="Comment Text Char"/>
    <w:basedOn w:val="DefaultParagraphFont"/>
    <w:link w:val="CommentText"/>
    <w:uiPriority w:val="99"/>
    <w:semiHidden/>
    <w:rsid w:val="00F321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2102"/>
    <w:rPr>
      <w:b/>
      <w:bCs/>
    </w:rPr>
  </w:style>
  <w:style w:type="character" w:customStyle="1" w:styleId="CommentSubjectChar">
    <w:name w:val="Comment Subject Char"/>
    <w:basedOn w:val="CommentTextChar"/>
    <w:link w:val="CommentSubject"/>
    <w:uiPriority w:val="99"/>
    <w:semiHidden/>
    <w:rsid w:val="00F3210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3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02"/>
    <w:rPr>
      <w:rFonts w:ascii="Segoe UI" w:eastAsia="Times New Roman" w:hAnsi="Segoe UI" w:cs="Segoe UI"/>
      <w:sz w:val="18"/>
      <w:szCs w:val="18"/>
    </w:rPr>
  </w:style>
  <w:style w:type="paragraph" w:styleId="Revision">
    <w:name w:val="Revision"/>
    <w:hidden/>
    <w:uiPriority w:val="99"/>
    <w:semiHidden/>
    <w:rsid w:val="005A0E7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Break-even</a:t>
            </a:r>
            <a:r>
              <a:rPr lang="en-GB" baseline="0"/>
              <a:t> Week Placement Price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6"/>
              </a:solidFill>
              <a:round/>
            </a:ln>
            <a:effectLst/>
          </c:spPr>
          <c:marker>
            <c:symbol val="none"/>
          </c:marker>
          <c:cat>
            <c:numRef>
              <c:f>Pricing!$P$27:$P$31</c:f>
              <c:numCache>
                <c:formatCode>0%</c:formatCode>
                <c:ptCount val="5"/>
                <c:pt idx="0">
                  <c:v>0.6</c:v>
                </c:pt>
                <c:pt idx="1">
                  <c:v>0.7</c:v>
                </c:pt>
                <c:pt idx="2">
                  <c:v>0.8</c:v>
                </c:pt>
                <c:pt idx="3">
                  <c:v>0.9</c:v>
                </c:pt>
                <c:pt idx="4">
                  <c:v>1</c:v>
                </c:pt>
              </c:numCache>
            </c:numRef>
          </c:cat>
          <c:val>
            <c:numRef>
              <c:f>Pricing!$Q$17:$Q$21</c:f>
              <c:numCache>
                <c:formatCode>General</c:formatCode>
                <c:ptCount val="5"/>
                <c:pt idx="0">
                  <c:v>11478.365384615385</c:v>
                </c:pt>
                <c:pt idx="1">
                  <c:v>9838.5989010989015</c:v>
                </c:pt>
                <c:pt idx="2">
                  <c:v>8608.7740384615372</c:v>
                </c:pt>
                <c:pt idx="3">
                  <c:v>7652.2435897435889</c:v>
                </c:pt>
                <c:pt idx="4">
                  <c:v>6887.0192307692305</c:v>
                </c:pt>
              </c:numCache>
            </c:numRef>
          </c:val>
          <c:smooth val="0"/>
          <c:extLst>
            <c:ext xmlns:c16="http://schemas.microsoft.com/office/drawing/2014/chart" uri="{C3380CC4-5D6E-409C-BE32-E72D297353CC}">
              <c16:uniqueId val="{00000000-A2C2-C145-B8CB-471DA5A06B26}"/>
            </c:ext>
          </c:extLst>
        </c:ser>
        <c:dLbls>
          <c:showLegendKey val="0"/>
          <c:showVal val="0"/>
          <c:showCatName val="0"/>
          <c:showSerName val="0"/>
          <c:showPercent val="0"/>
          <c:showBubbleSize val="0"/>
        </c:dLbls>
        <c:smooth val="0"/>
        <c:axId val="1788678480"/>
        <c:axId val="1845468848"/>
      </c:lineChart>
      <c:catAx>
        <c:axId val="1788678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Occupancy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468848"/>
        <c:crosses val="autoZero"/>
        <c:auto val="1"/>
        <c:lblAlgn val="ctr"/>
        <c:lblOffset val="100"/>
        <c:noMultiLvlLbl val="0"/>
      </c:catAx>
      <c:valAx>
        <c:axId val="184546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Week</a:t>
                </a:r>
                <a:r>
                  <a:rPr lang="en-GB" baseline="0"/>
                  <a:t> Placement Price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867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a746beaf4c31865435b5f6c1ba49f72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46b59411d81fac82efa469e8dd16d783"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415C2-43C2-4949-866D-D440ACBB223F}">
  <ds:schemaRefs>
    <ds:schemaRef ds:uri="http://schemas.microsoft.com/sharepoint/v3/contenttype/forms"/>
  </ds:schemaRefs>
</ds:datastoreItem>
</file>

<file path=customXml/itemProps2.xml><?xml version="1.0" encoding="utf-8"?>
<ds:datastoreItem xmlns:ds="http://schemas.openxmlformats.org/officeDocument/2006/customXml" ds:itemID="{481EE1ED-3AC8-43AA-B9DC-79F1FAEC5F5B}">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27de0dcf-7e4b-46ba-b260-4cfde2c33e74"/>
    <ds:schemaRef ds:uri="http://schemas.microsoft.com/office/infopath/2007/PartnerControls"/>
    <ds:schemaRef ds:uri="http://schemas.openxmlformats.org/package/2006/metadata/core-properties"/>
    <ds:schemaRef ds:uri="c6bdeb93-2270-4bf7-9e85-6688a4728aea"/>
  </ds:schemaRefs>
</ds:datastoreItem>
</file>

<file path=customXml/itemProps3.xml><?xml version="1.0" encoding="utf-8"?>
<ds:datastoreItem xmlns:ds="http://schemas.openxmlformats.org/officeDocument/2006/customXml" ds:itemID="{E51913F1-BB69-4D07-823A-D998E740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Queensley Uzomba</dc:creator>
  <cp:keywords/>
  <dc:description/>
  <cp:lastModifiedBy>Peter Tolley</cp:lastModifiedBy>
  <cp:revision>2</cp:revision>
  <dcterms:created xsi:type="dcterms:W3CDTF">2023-01-06T16:06:00Z</dcterms:created>
  <dcterms:modified xsi:type="dcterms:W3CDTF">2023-01-06T16:06:00Z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